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58D7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7E168" wp14:editId="2F3F4C64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F0D8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BB65E8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03417483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14:paraId="011F898E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ECB666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11E3F2A" w14:textId="77777777" w:rsidR="00CA2D70" w:rsidRPr="00EB3FE8" w:rsidRDefault="00CA2D70" w:rsidP="00CA2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A0C54" w14:textId="553B7AE8" w:rsidR="00CA2D70" w:rsidRPr="00EB3FE8" w:rsidRDefault="00B801FE" w:rsidP="00B80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08.05.2024</w:t>
      </w:r>
      <w:r w:rsidR="00CA2D70" w:rsidRPr="00EB3FE8">
        <w:rPr>
          <w:rFonts w:ascii="Times New Roman" w:hAnsi="Times New Roman" w:cs="Times New Roman"/>
          <w:sz w:val="28"/>
          <w:szCs w:val="28"/>
        </w:rPr>
        <w:t xml:space="preserve">      </w:t>
      </w:r>
      <w:r w:rsidR="00CA2D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D70" w:rsidRPr="00EB3FE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A2D70" w:rsidRPr="00EB3FE8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CA2D7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D70" w:rsidRPr="00EB3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D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296</w:t>
      </w:r>
      <w:r w:rsidR="00CA2D70">
        <w:rPr>
          <w:rFonts w:ascii="Times New Roman" w:hAnsi="Times New Roman" w:cs="Times New Roman"/>
          <w:sz w:val="28"/>
          <w:szCs w:val="28"/>
        </w:rPr>
        <w:t>-п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069F5" w14:textId="77777777" w:rsidR="00CA2D70" w:rsidRPr="00CA2D70" w:rsidRDefault="00CA2D70" w:rsidP="00CA2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D7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Администрации Идринского района</w:t>
      </w:r>
    </w:p>
    <w:p w14:paraId="4B834192" w14:textId="77777777" w:rsidR="00CA2D70" w:rsidRDefault="00CA2D70" w:rsidP="00CA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38D543" w14:textId="77777777" w:rsidR="00CA2D70" w:rsidRPr="00CA2D70" w:rsidRDefault="00CA2D70" w:rsidP="00CA2D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D70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CA2D70">
        <w:rPr>
          <w:rStyle w:val="a6"/>
          <w:rFonts w:ascii="Times New Roman" w:hAnsi="Times New Roman"/>
          <w:sz w:val="28"/>
          <w:szCs w:val="28"/>
        </w:rPr>
        <w:t>Федеральным законом</w:t>
      </w:r>
      <w:r w:rsidRPr="00CA2D70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Идринского района от  15.05.2023 № 264-п «Об организации оказания</w:t>
      </w:r>
      <w:proofErr w:type="gramEnd"/>
      <w:r w:rsidRPr="00CA2D70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proofErr w:type="gramStart"/>
      <w:r w:rsidRPr="00CA2D70">
        <w:rPr>
          <w:rFonts w:ascii="Times New Roman" w:hAnsi="Times New Roman" w:cs="Times New Roman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Pr="00CA2D70">
        <w:rPr>
          <w:rFonts w:ascii="Times New Roman" w:hAnsi="Times New Roman" w:cs="Times New Roman"/>
          <w:sz w:val="28"/>
          <w:szCs w:val="28"/>
        </w:rPr>
        <w:t xml:space="preserve"> Идринского района», руководствуясь статьями 19, 33 Устава Идринского района, ПОСТАНОВЛЯЮ:</w:t>
      </w:r>
    </w:p>
    <w:p w14:paraId="18B630E7" w14:textId="77777777"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13F98D" w14:textId="78BF9C1F"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024AB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C7531">
        <w:rPr>
          <w:rFonts w:ascii="Times New Roman" w:hAnsi="Times New Roman" w:cs="Times New Roman"/>
          <w:sz w:val="28"/>
          <w:szCs w:val="28"/>
        </w:rPr>
        <w:t xml:space="preserve"> от </w:t>
      </w:r>
      <w:r w:rsidR="00024AB6">
        <w:rPr>
          <w:rFonts w:ascii="Times New Roman" w:hAnsi="Times New Roman" w:cs="Times New Roman"/>
          <w:sz w:val="28"/>
          <w:szCs w:val="28"/>
        </w:rPr>
        <w:t>15.05.2023</w:t>
      </w:r>
      <w:r w:rsidRPr="000C7531">
        <w:rPr>
          <w:rFonts w:ascii="Times New Roman" w:hAnsi="Times New Roman" w:cs="Times New Roman"/>
          <w:sz w:val="28"/>
          <w:szCs w:val="28"/>
        </w:rPr>
        <w:t xml:space="preserve"> №</w:t>
      </w:r>
      <w:r w:rsidR="00024AB6">
        <w:rPr>
          <w:rFonts w:ascii="Times New Roman" w:hAnsi="Times New Roman" w:cs="Times New Roman"/>
          <w:sz w:val="28"/>
          <w:szCs w:val="28"/>
        </w:rPr>
        <w:t xml:space="preserve"> 266-п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="00024AB6" w:rsidRPr="00024AB6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Идринского района, о форме и сроках формирования отчета об их исполнении</w:t>
      </w:r>
      <w:r w:rsidRPr="00024A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024AB6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1B83D31" w14:textId="54858519"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024AB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024AB6">
        <w:rPr>
          <w:rFonts w:ascii="Times New Roman" w:hAnsi="Times New Roman" w:cs="Times New Roman"/>
          <w:sz w:val="28"/>
          <w:szCs w:val="28"/>
        </w:rPr>
        <w:t xml:space="preserve">от </w:t>
      </w:r>
      <w:r w:rsidR="00024AB6" w:rsidRPr="00024AB6">
        <w:rPr>
          <w:rFonts w:ascii="Times New Roman" w:hAnsi="Times New Roman" w:cs="Times New Roman"/>
          <w:sz w:val="28"/>
          <w:szCs w:val="28"/>
        </w:rPr>
        <w:t>30.05.2023</w:t>
      </w:r>
      <w:r w:rsidR="007E4A37" w:rsidRPr="00024AB6">
        <w:rPr>
          <w:rFonts w:ascii="Times New Roman" w:hAnsi="Times New Roman" w:cs="Times New Roman"/>
          <w:sz w:val="28"/>
          <w:szCs w:val="28"/>
        </w:rPr>
        <w:t xml:space="preserve"> № </w:t>
      </w:r>
      <w:r w:rsidR="00024AB6">
        <w:rPr>
          <w:rFonts w:ascii="Times New Roman" w:hAnsi="Times New Roman" w:cs="Times New Roman"/>
          <w:sz w:val="28"/>
          <w:szCs w:val="28"/>
        </w:rPr>
        <w:t>312-п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5D08313D" w14:textId="5A0086FB"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24AB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E4A37">
        <w:rPr>
          <w:rFonts w:ascii="Times New Roman" w:hAnsi="Times New Roman" w:cs="Times New Roman"/>
          <w:sz w:val="28"/>
          <w:szCs w:val="28"/>
        </w:rPr>
        <w:t xml:space="preserve"> от </w:t>
      </w:r>
      <w:r w:rsidR="004D6427" w:rsidRPr="004D6427">
        <w:rPr>
          <w:rFonts w:ascii="Times New Roman" w:hAnsi="Times New Roman" w:cs="Times New Roman"/>
          <w:sz w:val="28"/>
          <w:szCs w:val="28"/>
        </w:rPr>
        <w:t>30.05.2023</w:t>
      </w:r>
      <w:r w:rsidR="007E4A37" w:rsidRPr="004D6427">
        <w:rPr>
          <w:rFonts w:ascii="Times New Roman" w:hAnsi="Times New Roman" w:cs="Times New Roman"/>
          <w:sz w:val="28"/>
          <w:szCs w:val="28"/>
        </w:rPr>
        <w:t xml:space="preserve"> № </w:t>
      </w:r>
      <w:r w:rsidR="004D6427">
        <w:rPr>
          <w:rFonts w:ascii="Times New Roman" w:hAnsi="Times New Roman" w:cs="Times New Roman"/>
          <w:sz w:val="28"/>
          <w:szCs w:val="28"/>
        </w:rPr>
        <w:t>313-п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</w:t>
      </w:r>
      <w:r w:rsidR="007E4A37" w:rsidRPr="007E4A3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5F572F70" w14:textId="3102A234"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4D6427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4D6427">
        <w:rPr>
          <w:rFonts w:ascii="Times New Roman" w:hAnsi="Times New Roman" w:cs="Times New Roman"/>
          <w:sz w:val="28"/>
          <w:szCs w:val="28"/>
        </w:rPr>
        <w:t>16.08.2023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4D6427">
        <w:rPr>
          <w:rFonts w:ascii="Times New Roman" w:hAnsi="Times New Roman" w:cs="Times New Roman"/>
          <w:sz w:val="28"/>
          <w:szCs w:val="28"/>
        </w:rPr>
        <w:t>454-п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69B6CD4A" w14:textId="77777777" w:rsidR="004D037D" w:rsidRDefault="00392DF0" w:rsidP="004D037D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D6427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4D6427">
        <w:rPr>
          <w:rFonts w:ascii="Times New Roman" w:hAnsi="Times New Roman" w:cs="Times New Roman"/>
          <w:sz w:val="28"/>
          <w:szCs w:val="28"/>
        </w:rPr>
        <w:t>16.08.2023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4D6427">
        <w:rPr>
          <w:rFonts w:ascii="Times New Roman" w:hAnsi="Times New Roman" w:cs="Times New Roman"/>
          <w:sz w:val="28"/>
          <w:szCs w:val="28"/>
        </w:rPr>
        <w:t>455-п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0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14:paraId="1C713E70" w14:textId="021125E9" w:rsidR="007E4A37" w:rsidRPr="004D037D" w:rsidRDefault="004D037D" w:rsidP="004D037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094C8E" w:rsidRPr="004D03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4D037D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4D037D">
        <w:rPr>
          <w:rFonts w:ascii="Times New Roman" w:hAnsi="Times New Roman" w:cs="Times New Roman"/>
          <w:sz w:val="28"/>
          <w:szCs w:val="28"/>
        </w:rPr>
        <w:t>.</w:t>
      </w:r>
    </w:p>
    <w:p w14:paraId="14E0EAA7" w14:textId="46E91111" w:rsidR="007E4A37" w:rsidRPr="004D037D" w:rsidRDefault="004D037D" w:rsidP="004D037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4D6427" w:rsidRPr="004D037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4D6427" w:rsidRPr="004D037D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4D6427" w:rsidRPr="004D037D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0" w:history="1"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idraadm</w:t>
        </w:r>
        <w:proofErr w:type="spellEnd"/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6427" w:rsidRPr="004D03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D6427" w:rsidRPr="004D037D">
        <w:rPr>
          <w:rFonts w:ascii="Times New Roman" w:hAnsi="Times New Roman" w:cs="Times New Roman"/>
          <w:sz w:val="28"/>
          <w:szCs w:val="28"/>
        </w:rPr>
        <w:t>)</w:t>
      </w:r>
      <w:r w:rsidR="007E4A37" w:rsidRPr="004D037D">
        <w:rPr>
          <w:rFonts w:ascii="Times New Roman" w:hAnsi="Times New Roman" w:cs="Times New Roman"/>
          <w:sz w:val="28"/>
          <w:szCs w:val="28"/>
        </w:rPr>
        <w:t>.</w:t>
      </w:r>
    </w:p>
    <w:p w14:paraId="2EF38EDF" w14:textId="77777777" w:rsidR="004D6427" w:rsidRDefault="004D6427" w:rsidP="004D642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66740" w14:textId="77777777" w:rsidR="004D6427" w:rsidRDefault="004D6427" w:rsidP="004D642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40899" w14:textId="40F6E8DB" w:rsidR="004D6427" w:rsidRPr="004D6427" w:rsidRDefault="004D6427" w:rsidP="004D642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Г.В. Безъязыкова</w:t>
      </w: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64CB" w14:textId="00F45A54" w:rsidR="0020509B" w:rsidRPr="000E46EE" w:rsidRDefault="00B801FE" w:rsidP="00B801F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509B" w:rsidRPr="000E46EE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4E78548" w14:textId="7D7FD3BB" w:rsidR="0020509B" w:rsidRPr="000E46EE" w:rsidRDefault="0020509B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801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427">
        <w:rPr>
          <w:rFonts w:ascii="Times New Roman" w:hAnsi="Times New Roman" w:cs="Times New Roman"/>
          <w:sz w:val="28"/>
          <w:szCs w:val="28"/>
        </w:rPr>
        <w:t>района</w:t>
      </w:r>
    </w:p>
    <w:p w14:paraId="60F0E436" w14:textId="3263A328" w:rsidR="0020509B" w:rsidRDefault="0020509B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B801FE">
        <w:rPr>
          <w:rFonts w:ascii="Times New Roman" w:hAnsi="Times New Roman" w:cs="Times New Roman"/>
          <w:sz w:val="28"/>
          <w:szCs w:val="28"/>
        </w:rPr>
        <w:t xml:space="preserve"> 08.05.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B801FE">
        <w:rPr>
          <w:rFonts w:ascii="Times New Roman" w:hAnsi="Times New Roman" w:cs="Times New Roman"/>
          <w:sz w:val="28"/>
          <w:szCs w:val="28"/>
        </w:rPr>
        <w:t>296-п</w:t>
      </w:r>
    </w:p>
    <w:p w14:paraId="43297BEC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112468D" w14:textId="77777777" w:rsidR="0020509B" w:rsidRPr="00B801FE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01FE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14:paraId="05294D0B" w14:textId="0A4A1F6D" w:rsidR="0020509B" w:rsidRPr="00B801FE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01FE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4D037D" w:rsidRPr="00B801FE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427" w:rsidRPr="00B801FE">
        <w:rPr>
          <w:rFonts w:ascii="Times New Roman" w:hAnsi="Times New Roman" w:cs="Times New Roman"/>
          <w:sz w:val="28"/>
          <w:szCs w:val="28"/>
        </w:rPr>
        <w:t>от 15.05.2023 № 266-п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6427" w:rsidRPr="00B801FE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Идринского района, о форме и сроках формирования отчета об их исполнении</w:t>
      </w:r>
      <w:r w:rsidRPr="00B801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»</w:t>
      </w:r>
    </w:p>
    <w:p w14:paraId="1C7D4CDB" w14:textId="77777777" w:rsidR="0020509B" w:rsidRPr="00B801FE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15BF0254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4D64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Идринского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14:paraId="6FCF02F2" w14:textId="386F5773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proofErr w:type="gramEnd"/>
    </w:p>
    <w:p w14:paraId="7B8949A9" w14:textId="77777777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14:paraId="768D9FF6" w14:textId="66F38B90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25F68622" w14:textId="4A091642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7D848789" w14:textId="7777777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6DCEA0A9" w14:textId="29397510"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F6926D" w14:textId="3CADACE5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5BE8B1AD" w:rsidR="0020509B" w:rsidRPr="003F7FF5" w:rsidRDefault="004D037D" w:rsidP="00B801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Муниципального </w:t>
      </w:r>
      <w:r w:rsidR="003F7FF5"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</w:t>
      </w:r>
      <w:r w:rsidR="004D6427">
        <w:rPr>
          <w:rFonts w:ascii="Times New Roman" w:hAnsi="Times New Roman" w:cs="Times New Roman"/>
          <w:sz w:val="28"/>
          <w:szCs w:val="28"/>
        </w:rPr>
        <w:t xml:space="preserve">24 </w:t>
      </w:r>
      <w:r w:rsidR="003F7FF5" w:rsidRPr="003F7FF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F7FF5" w:rsidRPr="003F7FF5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F7FF5" w:rsidRPr="003F7F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F7FF5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464B67C2" w14:textId="72D04A87" w:rsidR="0020509B" w:rsidRPr="00B801FE" w:rsidRDefault="0020509B" w:rsidP="00B801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01FE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B801F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B801FE">
        <w:rPr>
          <w:rFonts w:ascii="Times New Roman" w:hAnsi="Times New Roman" w:cs="Times New Roman"/>
          <w:sz w:val="28"/>
        </w:rPr>
        <w:t>муниципального</w:t>
      </w:r>
      <w:r w:rsidRPr="00B801FE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B801F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B801FE">
        <w:rPr>
          <w:rFonts w:ascii="Times New Roman" w:hAnsi="Times New Roman" w:cs="Times New Roman"/>
          <w:sz w:val="28"/>
        </w:rPr>
        <w:t>муниципальных</w:t>
      </w:r>
      <w:r w:rsidRPr="00B801FE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B801FE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4D037D" w:rsidRPr="00B801FE">
        <w:rPr>
          <w:rFonts w:ascii="Times New Roman" w:hAnsi="Times New Roman" w:cs="Times New Roman"/>
          <w:i/>
          <w:iCs/>
          <w:sz w:val="28"/>
          <w:szCs w:val="28"/>
        </w:rPr>
        <w:t xml:space="preserve">Идринского района </w:t>
      </w:r>
      <w:r w:rsidRPr="00B801F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024AB6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47CC4B90" w:rsidR="0020509B" w:rsidRPr="000C7531" w:rsidRDefault="0020509B" w:rsidP="004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20509B" w:rsidRPr="000C7531" w14:paraId="167034D4" w14:textId="77777777" w:rsidTr="00024AB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509B" w:rsidRPr="000C7531" w14:paraId="577F7DD2" w14:textId="77777777" w:rsidTr="00024AB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024AB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024AB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024AB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024AB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024AB6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024AB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024AB6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024AB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CD3297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64798472" w14:textId="77777777" w:rsidTr="00024AB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024AB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2F55364A" w:rsidR="0020509B" w:rsidRPr="000C7531" w:rsidRDefault="0020509B" w:rsidP="004D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</w:tr>
      <w:tr w:rsidR="0020509B" w:rsidRPr="000C7531" w14:paraId="22648C1D" w14:textId="77777777" w:rsidTr="00B801F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B801F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B801F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B801F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B801F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DCC22F9" w14:textId="77777777" w:rsidTr="00024AB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5C0C8EB7" w:rsidR="0020509B" w:rsidRPr="000C7531" w:rsidRDefault="0020509B" w:rsidP="004D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20509B" w:rsidRPr="000C7531" w14:paraId="0257E364" w14:textId="77777777" w:rsidTr="00B801F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B801F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B801F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B801F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71A78CE8" w14:textId="77777777" w:rsidTr="00024AB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3F9BFA9B" w:rsidR="0020509B" w:rsidRPr="000C7531" w:rsidRDefault="0020509B" w:rsidP="004D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20509B" w:rsidRPr="000C7531" w14:paraId="1A5078C9" w14:textId="77777777" w:rsidTr="00B801F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B801F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B801F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B801F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B801F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B801F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B801F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B801F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B801F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B801F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433926" w14:textId="77777777" w:rsidTr="00024AB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51011150" w:rsidR="0020509B" w:rsidRPr="000C7531" w:rsidRDefault="0020509B" w:rsidP="004D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B801F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B801F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B801F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B801F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B801F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B801F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703741B" w14:textId="77777777" w:rsidTr="00024AB6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024AB6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024AB6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33993AE5" w:rsidR="0020509B" w:rsidRPr="000C7531" w:rsidRDefault="0020509B" w:rsidP="004D03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024AB6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20509B" w:rsidRPr="000C7531" w14:paraId="7D21DBBA" w14:textId="77777777" w:rsidTr="00024AB6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024AB6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024AB6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024AB6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024AB6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024AB6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024AB6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024AB6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8626F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08C7B0F" w14:textId="77777777" w:rsidTr="00024AB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63DB9747" w:rsidR="0020509B" w:rsidRPr="000C7531" w:rsidRDefault="0020509B" w:rsidP="004D03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20509B" w:rsidRPr="000C7531" w14:paraId="7B1A25E0" w14:textId="77777777" w:rsidTr="00024AB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B801F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20509B" w:rsidRPr="000C7531" w14:paraId="1191EA6E" w14:textId="77777777" w:rsidTr="00B801FE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D0D442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8E2421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B801FE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4C80A1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B801FE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14:paraId="1CCC4F8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B801FE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505CC96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546C84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825D8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B801FE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66DF21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8ADB5D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F77212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B801FE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013135A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B8893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78E017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F9B550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3BA229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382D0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B801FE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708DC48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2BB84C6F" w14:textId="77777777" w:rsidTr="00024AB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1E622D8D" w:rsidR="0020509B" w:rsidRPr="000C7531" w:rsidRDefault="0020509B" w:rsidP="004D03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20509B" w:rsidRPr="000C7531" w14:paraId="49128A4D" w14:textId="77777777" w:rsidTr="00B801F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B801FE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7276E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B43AE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2E9C1B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BCCFF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B801FE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0F249B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0247F0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2A167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ADCFA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DA6ED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B801FE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552DE0B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21CD96F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7242C5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71C5AD1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D4888D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B801FE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14:paraId="23C42E7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EFE2B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DA318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AA926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860FB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ABBDC3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6A5D9C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A0E8C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0E342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1C81C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6B1A4D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A7AC22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7654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898ED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2A199F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B801FE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F475C0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157C2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B48637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31DC09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5715BC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3CA94E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4194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3F90A0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40362C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E4082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B801FE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F2C7F2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AC5AF3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E09E0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01BA82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7B372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4FA0A2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6C135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C2ED86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2FF1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9DBB6E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B801FE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6206978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9575E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DA0D0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E323F5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5C683A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CBB16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8012B0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DD906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FA855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D88D54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AB653E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B02788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64D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0764FC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F3016A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D30E4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69CCB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E0A21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0B80D9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C0824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616968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33BD27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050A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7EF45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B706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B801FE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020E59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D8F34F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9EF285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EB785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97A47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B801FE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344AF6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DE8436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26D82D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E41E2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561427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1AA73624" w14:textId="77777777" w:rsidTr="00024AB6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5B184E08" w:rsidR="0020509B" w:rsidRPr="000C7531" w:rsidRDefault="0020509B" w:rsidP="004D03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B801FE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14:paraId="4A60B7C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14:paraId="628A96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79AD910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2A29A9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B801FE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27844D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BFEC97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883F30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581FC8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B801FE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EB353C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D072C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2D0C9E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EDDD1C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E05B7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B801FE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3DA428B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355A9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384E8E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8B516A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1808E3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B801FE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2052B53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0B55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BD2F39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6D6977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349B5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ED993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F2589D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E25994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761E0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2DE6C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70C715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626D2F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788F1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176AF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E12B2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4B4F02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23FD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BF716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16E7EF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9E324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34202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C076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64D5C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69371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0A65C7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559AB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FE510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7747B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063C7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7EB4B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B801FE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3CF00B4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72BF1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19232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66748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22EA33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E26A4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A8379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68B8A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80A5A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B860F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06C492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107D37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4959D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08A1D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E32678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C8B3FB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5D005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3878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382D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85B0A3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4A84C7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07932B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9C30B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067F6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0F270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B801FE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AA36BA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89D307B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5996B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F858AE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9267AD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B801FE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024AB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885C3B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104E1DF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35A120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72BE0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F8F24B2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96"/>
        <w:gridCol w:w="926"/>
        <w:gridCol w:w="444"/>
        <w:gridCol w:w="92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14:paraId="324EF4C2" w14:textId="77777777" w:rsidTr="00B801FE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82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B801FE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(муниципальных услуг, составляющ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</w:t>
            </w:r>
            <w:r w:rsidRPr="000C7531">
              <w:rPr>
                <w:rFonts w:ascii="Times New Roman" w:hAnsi="Times New Roman" w:cs="Times New Roman"/>
              </w:rPr>
              <w:lastRenderedPageBreak/>
              <w:t>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Место оказания муниципальной услуги в социальной сфере (муниципа</w:t>
            </w:r>
            <w:r w:rsidRPr="000C7531">
              <w:rPr>
                <w:rFonts w:ascii="Times New Roman" w:hAnsi="Times New Roman" w:cs="Times New Roman"/>
              </w:rPr>
              <w:lastRenderedPageBreak/>
              <w:t>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качество оказания муниципальной услуги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B801FE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B801FE">
        <w:trPr>
          <w:trHeight w:val="1931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B801FE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B801FE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B801F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B801FE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B801F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024AB6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024AB6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0168F138" w14:textId="68EFDF56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14:paraId="74812144" w14:textId="77777777" w:rsidTr="00024AB6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024AB6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2A3C638A" w:rsidR="0020509B" w:rsidRPr="000C7531" w:rsidRDefault="0020509B" w:rsidP="004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плановый период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4D0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</w:t>
            </w:r>
          </w:p>
        </w:tc>
      </w:tr>
      <w:tr w:rsidR="0020509B" w:rsidRPr="000C7531" w14:paraId="264821D5" w14:textId="77777777" w:rsidTr="00024AB6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024AB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024AB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024AB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024AB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024AB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024AB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024AB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024AB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024AB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024AB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A3DCA6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F8B6D6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2F0A59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14:paraId="53D231E3" w14:textId="77777777" w:rsidTr="00B801FE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B801FE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B801FE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B801FE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20509B" w:rsidRPr="000C7531" w14:paraId="6ECE10C9" w14:textId="77777777" w:rsidTr="00B801FE">
        <w:trPr>
          <w:trHeight w:val="1985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B801FE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B801FE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B801FE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B801FE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B801F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B801FE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14:paraId="2CAA5721" w14:textId="77777777" w:rsidTr="00024AB6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024AB6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024AB6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024AB6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024AB6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024AB6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024AB6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024AB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024AB6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414"/>
        <w:gridCol w:w="698"/>
        <w:gridCol w:w="130"/>
        <w:gridCol w:w="795"/>
        <w:gridCol w:w="337"/>
        <w:gridCol w:w="872"/>
        <w:gridCol w:w="370"/>
        <w:gridCol w:w="656"/>
        <w:gridCol w:w="379"/>
        <w:gridCol w:w="559"/>
        <w:gridCol w:w="683"/>
        <w:gridCol w:w="254"/>
        <w:gridCol w:w="544"/>
        <w:gridCol w:w="444"/>
        <w:gridCol w:w="733"/>
        <w:gridCol w:w="509"/>
        <w:gridCol w:w="668"/>
        <w:gridCol w:w="574"/>
        <w:gridCol w:w="603"/>
        <w:gridCol w:w="639"/>
        <w:gridCol w:w="408"/>
        <w:gridCol w:w="725"/>
        <w:gridCol w:w="550"/>
        <w:gridCol w:w="583"/>
        <w:gridCol w:w="597"/>
        <w:gridCol w:w="33"/>
      </w:tblGrid>
      <w:tr w:rsidR="0020509B" w:rsidRPr="000C7531" w14:paraId="4F9095D5" w14:textId="77777777" w:rsidTr="00B801FE">
        <w:trPr>
          <w:gridAfter w:val="1"/>
          <w:wAfter w:w="11" w:type="pct"/>
          <w:trHeight w:val="70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B801FE">
        <w:trPr>
          <w:gridAfter w:val="1"/>
          <w:wAfter w:w="11" w:type="pct"/>
          <w:trHeight w:val="87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B801FE">
        <w:trPr>
          <w:gridAfter w:val="1"/>
          <w:wAfter w:w="11" w:type="pct"/>
          <w:trHeight w:val="62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B801FE">
        <w:trPr>
          <w:gridAfter w:val="1"/>
          <w:wAfter w:w="11" w:type="pct"/>
          <w:trHeight w:val="111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B801FE">
        <w:trPr>
          <w:gridAfter w:val="1"/>
          <w:wAfter w:w="11" w:type="pct"/>
          <w:trHeight w:val="170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B801FE">
        <w:trPr>
          <w:gridAfter w:val="1"/>
          <w:wAfter w:w="11" w:type="pct"/>
          <w:trHeight w:val="27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B801FE">
        <w:trPr>
          <w:gridAfter w:val="1"/>
          <w:wAfter w:w="11" w:type="pct"/>
          <w:trHeight w:val="264"/>
        </w:trPr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B801FE">
        <w:trPr>
          <w:gridAfter w:val="1"/>
          <w:wAfter w:w="11" w:type="pct"/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B801FE">
        <w:trPr>
          <w:gridAfter w:val="1"/>
          <w:wAfter w:w="11" w:type="pct"/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B801FE">
        <w:trPr>
          <w:gridAfter w:val="1"/>
          <w:wAfter w:w="11" w:type="pct"/>
          <w:trHeight w:val="264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1451C55" w14:textId="77777777" w:rsidTr="00B801FE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B801FE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B801FE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B801FE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B801FE">
        <w:trPr>
          <w:trHeight w:val="1188"/>
        </w:trPr>
        <w:tc>
          <w:tcPr>
            <w:tcW w:w="1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B801FE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B801FE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B801FE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B801F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B801FE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B801FE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B801F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B801FE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"/>
        <w:gridCol w:w="704"/>
        <w:gridCol w:w="416"/>
        <w:gridCol w:w="948"/>
        <w:gridCol w:w="509"/>
        <w:gridCol w:w="611"/>
        <w:gridCol w:w="597"/>
        <w:gridCol w:w="357"/>
        <w:gridCol w:w="1034"/>
        <w:gridCol w:w="294"/>
        <w:gridCol w:w="554"/>
        <w:gridCol w:w="445"/>
        <w:gridCol w:w="1035"/>
        <w:gridCol w:w="357"/>
        <w:gridCol w:w="762"/>
        <w:gridCol w:w="667"/>
        <w:gridCol w:w="453"/>
        <w:gridCol w:w="728"/>
        <w:gridCol w:w="305"/>
        <w:gridCol w:w="948"/>
        <w:gridCol w:w="440"/>
        <w:gridCol w:w="569"/>
        <w:gridCol w:w="1188"/>
      </w:tblGrid>
      <w:tr w:rsidR="0020509B" w:rsidRPr="000C7531" w14:paraId="268941EA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B801FE">
        <w:trPr>
          <w:trHeight w:val="1188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B801FE">
        <w:trPr>
          <w:trHeight w:val="1320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B801FE">
        <w:trPr>
          <w:trHeight w:val="1392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B801FE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B801FE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B801FE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B801FE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B801FE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B801FE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B801FE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B801FE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B801FE">
        <w:trPr>
          <w:trHeight w:val="1116"/>
        </w:trPr>
        <w:tc>
          <w:tcPr>
            <w:tcW w:w="1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14:paraId="03978399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02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оказания муниципальной услуги</w:t>
            </w:r>
          </w:p>
        </w:tc>
      </w:tr>
      <w:tr w:rsidR="0020509B" w:rsidRPr="000C7531" w14:paraId="4611E3AE" w14:textId="77777777" w:rsidTr="00B801FE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ля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B801FE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B801FE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B801FE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B801FE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B801FE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B801FE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B801FE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B801FE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B801FE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B801FE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14:paraId="69A608F9" w14:textId="77777777" w:rsidTr="00024AB6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024AB6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024AB6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024AB6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024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024AB6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024AB6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024AB6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024AB6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024AB6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4A4DDB2D" w14:textId="70229B13" w:rsidR="00B801FE" w:rsidRPr="000E46EE" w:rsidRDefault="00B801FE" w:rsidP="00B801F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7DE258A" w14:textId="77777777" w:rsidR="00B801FE" w:rsidRPr="000E46E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района</w:t>
      </w:r>
    </w:p>
    <w:p w14:paraId="1052F0F5" w14:textId="77777777" w:rsidR="00B801F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296-п</w:t>
      </w: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230D9D10" w:rsidR="0020554D" w:rsidRPr="00B801FE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01FE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  <w:r w:rsidR="0020554D" w:rsidRPr="00B801FE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14:paraId="7B374ABC" w14:textId="58997209" w:rsidR="0020554D" w:rsidRPr="00B801FE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01FE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4D037D" w:rsidRPr="00B801FE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37D" w:rsidRPr="00B801FE">
        <w:rPr>
          <w:rFonts w:ascii="Times New Roman" w:hAnsi="Times New Roman" w:cs="Times New Roman"/>
          <w:bCs/>
          <w:sz w:val="28"/>
          <w:szCs w:val="28"/>
        </w:rPr>
        <w:t>от 30.05.2023 № 312-п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901F6" w14:textId="17EE3301"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71A9B5C4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037D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282762CA"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CE11D8" w14:textId="1931F735"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387D663" w14:textId="2CE578D5"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3E8731A2" w14:textId="54088F28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037D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227E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BC929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30FCB1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AE120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57B65C3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9FBBB35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949EA7F" w14:textId="77777777" w:rsidR="00CB78D4" w:rsidRDefault="00CB78D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22FD42" w14:textId="77777777" w:rsidR="00B801FE" w:rsidRDefault="00B801FE" w:rsidP="005822E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05ABAAD" w14:textId="77777777" w:rsidR="00B801FE" w:rsidRDefault="00B801FE" w:rsidP="005822E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1886387C" w14:textId="1B14418A" w:rsidR="00B801FE" w:rsidRPr="000E46EE" w:rsidRDefault="00B801FE" w:rsidP="00B801F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031A1CB" w14:textId="77777777" w:rsidR="00B801FE" w:rsidRPr="000E46E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района</w:t>
      </w:r>
    </w:p>
    <w:p w14:paraId="3B18E427" w14:textId="77777777" w:rsidR="00B801F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296-п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7C1C" w14:textId="77777777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01FE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14:paraId="69700CB2" w14:textId="50EFBD5C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01FE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от 30.05.2023 № 313-п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Pr="00B801F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52BFA9" w14:textId="228A2C30"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75B1D866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B78D4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29EE76C9" w14:textId="77777777"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4FC540" w14:textId="77777777"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97BB541" w14:textId="29CDE1D0"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00572074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B78D4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2984C008"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9EF387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0DBD5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72789D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46BE4B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B322B3" w14:textId="3CAF8AB6" w:rsidR="00B801FE" w:rsidRPr="000E46EE" w:rsidRDefault="00B801FE" w:rsidP="00B801F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B470B97" w14:textId="77777777" w:rsidR="00B801FE" w:rsidRPr="000E46E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района</w:t>
      </w:r>
    </w:p>
    <w:p w14:paraId="0F945C2D" w14:textId="77777777" w:rsidR="00B801F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296-п</w:t>
      </w:r>
    </w:p>
    <w:p w14:paraId="55D84F23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0C555" w14:textId="77777777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01FE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14:paraId="297F42FE" w14:textId="1DCCC453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01FE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от 16.08.2023 № 454-п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67406EE" w14:textId="39BAB790"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645CD1A" w14:textId="2431EA0C"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B8D3B80" w14:textId="2E4BF697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3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0E82D08" w14:textId="3162A358"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14:paraId="30213053" w14:textId="6DE40C43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60B74EB7" w14:textId="7FFAAA3D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</w:t>
      </w:r>
      <w:r w:rsidR="00CB78D4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1CBE73C9" w14:textId="3C9F85AC"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14:paraId="09DACC01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4F8635" w14:textId="77777777"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85DA8" w14:textId="63C27D05" w:rsidR="00B801FE" w:rsidRPr="000E46EE" w:rsidRDefault="00B801FE" w:rsidP="00B801F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7BDCDC5" w14:textId="77777777" w:rsidR="00B801FE" w:rsidRPr="000E46E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района</w:t>
      </w:r>
    </w:p>
    <w:p w14:paraId="478BF34E" w14:textId="77777777" w:rsidR="00B801FE" w:rsidRDefault="00B801FE" w:rsidP="00B801F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296-п</w:t>
      </w:r>
    </w:p>
    <w:p w14:paraId="047E2A0E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01CB8" w14:textId="77777777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01FE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14:paraId="25FAC38B" w14:textId="7AE0DF17" w:rsidR="003E191E" w:rsidRPr="00B801FE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01FE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  <w:r w:rsidRPr="00B8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8D4" w:rsidRPr="00B801FE">
        <w:rPr>
          <w:rFonts w:ascii="Times New Roman" w:hAnsi="Times New Roman" w:cs="Times New Roman"/>
          <w:bCs/>
          <w:sz w:val="28"/>
          <w:szCs w:val="28"/>
        </w:rPr>
        <w:t>от 16.08.2023 № 455-п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proofErr w:type="gramEnd"/>
      <w:r w:rsidR="00CB78D4" w:rsidRPr="00B801FE"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сфере» в соответствии с социальными сертификатами»</w:t>
      </w:r>
    </w:p>
    <w:p w14:paraId="202C7959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745F79">
        <w:rPr>
          <w:rFonts w:ascii="Times New Roman" w:hAnsi="Times New Roman" w:cs="Times New Roman"/>
          <w:sz w:val="28"/>
          <w:szCs w:val="28"/>
        </w:rPr>
        <w:t xml:space="preserve">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65381A9B" w14:textId="64B1FD28"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 w:rsidR="00452B31">
        <w:rPr>
          <w:rFonts w:ascii="Times New Roman" w:hAnsi="Times New Roman" w:cs="Times New Roman"/>
          <w:i/>
          <w:sz w:val="28"/>
          <w:szCs w:val="28"/>
          <w:u w:val="single"/>
        </w:rPr>
        <w:t>Идринским</w:t>
      </w:r>
      <w:proofErr w:type="spellEnd"/>
      <w:r w:rsidR="00452B3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Pr="00745F7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5A4BEC6" w14:textId="2C499614"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1331DCEC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CB78D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CB78D4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0DC0BD70"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39C7E16" w14:textId="2F1F613C" w:rsidR="00A66B18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B1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61E20400" w14:textId="3683565C" w:rsidR="00A66B18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CB78D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Идринского района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4BD19958" w14:textId="679DEDAE" w:rsidR="005402FD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56058770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 xml:space="preserve">, подавшим заявку на включение указанного лица в реестр исполнителей </w:t>
      </w:r>
      <w:r w:rsidRPr="005822E0">
        <w:rPr>
          <w:rFonts w:ascii="Times New Roman" w:hAnsi="Times New Roman" w:cs="Times New Roman"/>
          <w:sz w:val="28"/>
          <w:szCs w:val="28"/>
        </w:rPr>
        <w:t>муниципальной услуги по социальному сертификату (далее – лицо, подавшее заявку)</w:t>
      </w:r>
      <w:r w:rsidR="00A66B18" w:rsidRPr="005822E0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Pr="005822E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5822E0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</w:t>
      </w:r>
      <w:proofErr w:type="gramEnd"/>
      <w:r w:rsidR="00A66B18"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18" w:rsidRPr="005402FD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</w:t>
      </w:r>
      <w:r w:rsidRPr="005822E0">
        <w:rPr>
          <w:rFonts w:ascii="Times New Roman" w:hAnsi="Times New Roman" w:cs="Times New Roman"/>
          <w:sz w:val="28"/>
          <w:szCs w:val="28"/>
        </w:rPr>
        <w:t>сфере» (далее</w:t>
      </w:r>
      <w:proofErr w:type="gramEnd"/>
      <w:r w:rsidRPr="005822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22E0"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 w:rsidRPr="005822E0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5822E0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822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7BBD0911" w14:textId="77777777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53E64C48"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B78D4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35E288" w14:textId="77777777" w:rsidR="003E191E" w:rsidRDefault="003E191E" w:rsidP="00CB78D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093C4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D8B39A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2488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5BF6FC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D7A61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22B2A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C47FD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ABF4A4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8064C6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45CDD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DA983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73F79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539A39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DEEF8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7EB25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342572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FFB4C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D21E6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F610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4A9AF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D89B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F62DFC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A7482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F9F968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910A81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E68FF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B8E08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75955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818FF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A5344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BD447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ED024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B3E139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C69F3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D51F6" w14:textId="77777777"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  <w:bookmarkStart w:id="4" w:name="_GoBack"/>
      <w:bookmarkEnd w:id="4"/>
    </w:p>
    <w:sectPr w:rsidR="00A92117" w:rsidRPr="00480115" w:rsidSect="00D918AA"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0FC77" w14:textId="77777777" w:rsidR="00D00D44" w:rsidRDefault="00D00D44" w:rsidP="00C2352F">
      <w:pPr>
        <w:spacing w:after="0" w:line="240" w:lineRule="auto"/>
      </w:pPr>
      <w:r>
        <w:separator/>
      </w:r>
    </w:p>
  </w:endnote>
  <w:endnote w:type="continuationSeparator" w:id="0">
    <w:p w14:paraId="44D2538B" w14:textId="77777777" w:rsidR="00D00D44" w:rsidRDefault="00D00D4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5822E0" w:rsidRPr="00104A38" w:rsidRDefault="005822E0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35AB6" w14:textId="77777777" w:rsidR="00D00D44" w:rsidRDefault="00D00D44" w:rsidP="00C2352F">
      <w:pPr>
        <w:spacing w:after="0" w:line="240" w:lineRule="auto"/>
      </w:pPr>
      <w:r>
        <w:separator/>
      </w:r>
    </w:p>
  </w:footnote>
  <w:footnote w:type="continuationSeparator" w:id="0">
    <w:p w14:paraId="42E4737E" w14:textId="77777777" w:rsidR="00D00D44" w:rsidRDefault="00D00D4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5822E0" w:rsidRDefault="005822E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4AB6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1E770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2B31"/>
    <w:rsid w:val="004530F6"/>
    <w:rsid w:val="0045460E"/>
    <w:rsid w:val="0047498F"/>
    <w:rsid w:val="0048775F"/>
    <w:rsid w:val="00495E59"/>
    <w:rsid w:val="00496F19"/>
    <w:rsid w:val="004B3E8C"/>
    <w:rsid w:val="004B6080"/>
    <w:rsid w:val="004D037D"/>
    <w:rsid w:val="004D107E"/>
    <w:rsid w:val="004D6427"/>
    <w:rsid w:val="004E215B"/>
    <w:rsid w:val="004E78AF"/>
    <w:rsid w:val="005278BF"/>
    <w:rsid w:val="005319F2"/>
    <w:rsid w:val="005402FD"/>
    <w:rsid w:val="00543F50"/>
    <w:rsid w:val="0054672A"/>
    <w:rsid w:val="00552A9D"/>
    <w:rsid w:val="005721FB"/>
    <w:rsid w:val="005822E0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00B72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11FA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5672E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01FE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2D70"/>
    <w:rsid w:val="00CB3B12"/>
    <w:rsid w:val="00CB78D4"/>
    <w:rsid w:val="00CB79B7"/>
    <w:rsid w:val="00CC2349"/>
    <w:rsid w:val="00CD1FD1"/>
    <w:rsid w:val="00CD286C"/>
    <w:rsid w:val="00CD34A3"/>
    <w:rsid w:val="00CE440C"/>
    <w:rsid w:val="00CE619C"/>
    <w:rsid w:val="00CE68E1"/>
    <w:rsid w:val="00D00D44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adm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8A54-5932-43E5-A4B7-DFF65A88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7450</Words>
  <Characters>42468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2</cp:revision>
  <cp:lastPrinted>2024-04-19T08:00:00Z</cp:lastPrinted>
  <dcterms:created xsi:type="dcterms:W3CDTF">2024-05-08T02:22:00Z</dcterms:created>
  <dcterms:modified xsi:type="dcterms:W3CDTF">2024-05-08T02:22:00Z</dcterms:modified>
</cp:coreProperties>
</file>