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67BB4" w:rsidRDefault="00223BA8" w:rsidP="00CC266D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  <w:bookmarkStart w:id="1" w:name="_Toc336620784"/>
      <w:bookmarkStart w:id="2" w:name="_Toc336620864"/>
      <w:bookmarkStart w:id="3" w:name="_Toc336787438"/>
      <w:bookmarkStart w:id="4" w:name="_Toc336787619"/>
      <w:bookmarkStart w:id="5" w:name="_Toc337224163"/>
      <w:bookmarkStart w:id="6" w:name="_Toc337224221"/>
      <w:bookmarkStart w:id="7" w:name="_Toc337809434"/>
      <w:bookmarkStart w:id="8" w:name="_Toc274821243"/>
      <w:bookmarkStart w:id="9" w:name="_Toc274821372"/>
      <w:bookmarkStart w:id="10" w:name="_Toc299986476"/>
      <w:bookmarkStart w:id="11" w:name="_Toc304457355"/>
      <w:bookmarkStart w:id="12" w:name="_Toc304457492"/>
      <w:bookmarkStart w:id="13" w:name="_Toc304457600"/>
      <w:bookmarkStart w:id="14" w:name="_Toc304999598"/>
      <w:bookmarkStart w:id="15" w:name="_Toc305000039"/>
      <w:bookmarkStart w:id="16" w:name="_Toc305002808"/>
      <w:bookmarkStart w:id="17" w:name="_Toc305003124"/>
      <w:bookmarkStart w:id="18" w:name="_Toc305155266"/>
      <w:bookmarkStart w:id="19" w:name="_Toc305158443"/>
      <w:bookmarkStart w:id="20" w:name="_Toc305163060"/>
      <w:bookmarkStart w:id="21" w:name="_Toc305165920"/>
      <w:bookmarkStart w:id="22" w:name="_Toc305166939"/>
      <w:bookmarkStart w:id="23" w:name="_Toc305935228"/>
      <w:bookmarkStart w:id="24" w:name="_Toc305939289"/>
      <w:bookmarkStart w:id="25" w:name="_Toc367968138"/>
      <w:bookmarkStart w:id="26" w:name="_Toc367978119"/>
      <w:bookmarkStart w:id="27" w:name="_Toc368665039"/>
      <w:bookmarkStart w:id="28" w:name="_Toc369545312"/>
      <w:bookmarkStart w:id="29" w:name="_Toc211266796"/>
      <w:bookmarkStart w:id="30" w:name="_Toc273121258"/>
      <w:bookmarkStart w:id="31" w:name="_Toc273363498"/>
      <w:bookmarkStart w:id="32" w:name="_Toc274770294"/>
      <w:r w:rsidRPr="00267BB4">
        <w:rPr>
          <w:rFonts w:ascii="Times New Roman" w:hAnsi="Times New Roman" w:cs="Times New Roman"/>
          <w:kern w:val="28"/>
          <w:sz w:val="56"/>
          <w:szCs w:val="56"/>
        </w:rPr>
        <w:t>Основные направления</w:t>
      </w:r>
      <w:bookmarkEnd w:id="1"/>
      <w:bookmarkEnd w:id="2"/>
      <w:bookmarkEnd w:id="3"/>
      <w:bookmarkEnd w:id="4"/>
      <w:bookmarkEnd w:id="5"/>
      <w:bookmarkEnd w:id="6"/>
      <w:bookmarkEnd w:id="7"/>
      <w:r w:rsidRPr="00267BB4">
        <w:rPr>
          <w:rFonts w:ascii="Times New Roman" w:hAnsi="Times New Roman" w:cs="Times New Roman"/>
          <w:kern w:val="28"/>
          <w:sz w:val="56"/>
          <w:szCs w:val="56"/>
        </w:rPr>
        <w:t xml:space="preserve"> </w:t>
      </w:r>
      <w:bookmarkStart w:id="33" w:name="_Toc336620785"/>
      <w:bookmarkStart w:id="34" w:name="_Toc336620865"/>
      <w:bookmarkStart w:id="35" w:name="_Toc336787439"/>
      <w:bookmarkStart w:id="36" w:name="_Toc336787620"/>
      <w:bookmarkStart w:id="37" w:name="_Toc337224164"/>
      <w:bookmarkStart w:id="38" w:name="_Toc337224222"/>
      <w:bookmarkStart w:id="39" w:name="_Toc337809435"/>
    </w:p>
    <w:p w:rsidR="00267BB4" w:rsidRDefault="00223BA8" w:rsidP="00CC266D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  <w:r w:rsidRPr="00267BB4">
        <w:rPr>
          <w:rFonts w:ascii="Times New Roman" w:hAnsi="Times New Roman" w:cs="Times New Roman"/>
          <w:kern w:val="28"/>
          <w:sz w:val="56"/>
          <w:szCs w:val="56"/>
        </w:rPr>
        <w:t>налоговой политики</w:t>
      </w:r>
    </w:p>
    <w:p w:rsidR="00223BA8" w:rsidRPr="00267BB4" w:rsidRDefault="00223BA8" w:rsidP="00CC266D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  <w:r w:rsidRPr="00267BB4">
        <w:rPr>
          <w:rFonts w:ascii="Times New Roman" w:hAnsi="Times New Roman" w:cs="Times New Roman"/>
          <w:kern w:val="28"/>
          <w:sz w:val="56"/>
          <w:szCs w:val="56"/>
        </w:rPr>
        <w:t xml:space="preserve"> </w:t>
      </w:r>
      <w:bookmarkStart w:id="40" w:name="_Toc274821244"/>
      <w:bookmarkStart w:id="41" w:name="_Toc274821373"/>
      <w:bookmarkStart w:id="42" w:name="_Toc299986477"/>
      <w:bookmarkStart w:id="43" w:name="_Toc304457356"/>
      <w:bookmarkStart w:id="44" w:name="_Toc304457493"/>
      <w:bookmarkStart w:id="45" w:name="_Toc304457601"/>
      <w:bookmarkStart w:id="46" w:name="_Toc304999599"/>
      <w:bookmarkStart w:id="47" w:name="_Toc305000040"/>
      <w:bookmarkStart w:id="48" w:name="_Toc305002809"/>
      <w:bookmarkStart w:id="49" w:name="_Toc305003125"/>
      <w:bookmarkStart w:id="50" w:name="_Toc305155267"/>
      <w:bookmarkStart w:id="51" w:name="_Toc305158444"/>
      <w:bookmarkStart w:id="52" w:name="_Toc305163061"/>
      <w:bookmarkStart w:id="53" w:name="_Toc305165921"/>
      <w:bookmarkStart w:id="54" w:name="_Toc305166940"/>
      <w:bookmarkStart w:id="55" w:name="_Toc305935229"/>
      <w:bookmarkStart w:id="56" w:name="_Toc30593929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proofErr w:type="spellStart"/>
      <w:r w:rsidRPr="00267BB4">
        <w:rPr>
          <w:rFonts w:ascii="Times New Roman" w:hAnsi="Times New Roman" w:cs="Times New Roman"/>
          <w:kern w:val="28"/>
          <w:sz w:val="56"/>
          <w:szCs w:val="56"/>
        </w:rPr>
        <w:t>Идринского</w:t>
      </w:r>
      <w:proofErr w:type="spellEnd"/>
      <w:r w:rsidRPr="00267BB4">
        <w:rPr>
          <w:rFonts w:ascii="Times New Roman" w:hAnsi="Times New Roman" w:cs="Times New Roman"/>
          <w:kern w:val="28"/>
          <w:sz w:val="56"/>
          <w:szCs w:val="56"/>
        </w:rPr>
        <w:t xml:space="preserve"> района</w:t>
      </w:r>
    </w:p>
    <w:p w:rsidR="00267BB4" w:rsidRDefault="00223BA8" w:rsidP="00CC266D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  <w:bookmarkStart w:id="57" w:name="_Toc367968139"/>
      <w:bookmarkStart w:id="58" w:name="_Toc367978120"/>
      <w:bookmarkStart w:id="59" w:name="_Toc368665040"/>
      <w:bookmarkStart w:id="60" w:name="_Toc369545313"/>
      <w:r w:rsidRPr="00267BB4">
        <w:rPr>
          <w:rFonts w:ascii="Times New Roman" w:hAnsi="Times New Roman" w:cs="Times New Roman"/>
          <w:kern w:val="28"/>
          <w:sz w:val="56"/>
          <w:szCs w:val="56"/>
        </w:rPr>
        <w:t>на 2015 год</w:t>
      </w:r>
      <w:bookmarkEnd w:id="33"/>
      <w:bookmarkEnd w:id="34"/>
      <w:bookmarkEnd w:id="35"/>
      <w:bookmarkEnd w:id="36"/>
      <w:bookmarkEnd w:id="37"/>
      <w:bookmarkEnd w:id="38"/>
      <w:bookmarkEnd w:id="39"/>
      <w:r w:rsidRPr="00267BB4">
        <w:rPr>
          <w:rFonts w:ascii="Times New Roman" w:hAnsi="Times New Roman" w:cs="Times New Roman"/>
          <w:kern w:val="28"/>
          <w:sz w:val="56"/>
          <w:szCs w:val="56"/>
        </w:rPr>
        <w:t xml:space="preserve"> </w:t>
      </w:r>
      <w:bookmarkStart w:id="61" w:name="_Toc336620786"/>
      <w:bookmarkStart w:id="62" w:name="_Toc336620866"/>
      <w:bookmarkStart w:id="63" w:name="_Toc336787440"/>
      <w:bookmarkStart w:id="64" w:name="_Toc336787621"/>
      <w:bookmarkStart w:id="65" w:name="_Toc337224165"/>
      <w:bookmarkStart w:id="66" w:name="_Toc337224223"/>
      <w:bookmarkStart w:id="67" w:name="_Toc337809436"/>
      <w:r w:rsidRPr="00267BB4">
        <w:rPr>
          <w:rFonts w:ascii="Times New Roman" w:hAnsi="Times New Roman" w:cs="Times New Roman"/>
          <w:kern w:val="28"/>
          <w:sz w:val="56"/>
          <w:szCs w:val="56"/>
        </w:rPr>
        <w:t xml:space="preserve">и </w:t>
      </w:r>
    </w:p>
    <w:p w:rsidR="00267BB4" w:rsidRDefault="00223BA8" w:rsidP="00CC266D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  <w:r w:rsidRPr="00267BB4">
        <w:rPr>
          <w:rFonts w:ascii="Times New Roman" w:hAnsi="Times New Roman" w:cs="Times New Roman"/>
          <w:kern w:val="28"/>
          <w:sz w:val="56"/>
          <w:szCs w:val="56"/>
        </w:rPr>
        <w:t xml:space="preserve">плановый период </w:t>
      </w:r>
    </w:p>
    <w:p w:rsidR="00223BA8" w:rsidRPr="00267BB4" w:rsidRDefault="00223BA8" w:rsidP="00CC266D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  <w:r w:rsidRPr="00267BB4">
        <w:rPr>
          <w:rFonts w:ascii="Times New Roman" w:hAnsi="Times New Roman" w:cs="Times New Roman"/>
          <w:kern w:val="28"/>
          <w:sz w:val="56"/>
          <w:szCs w:val="56"/>
        </w:rPr>
        <w:t>2016 - 2017год</w:t>
      </w:r>
      <w:bookmarkEnd w:id="29"/>
      <w:bookmarkEnd w:id="30"/>
      <w:bookmarkEnd w:id="31"/>
      <w:bookmarkEnd w:id="32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267BB4">
        <w:rPr>
          <w:rFonts w:ascii="Times New Roman" w:hAnsi="Times New Roman" w:cs="Times New Roman"/>
          <w:kern w:val="28"/>
          <w:sz w:val="56"/>
          <w:szCs w:val="56"/>
        </w:rPr>
        <w:t>ов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223BA8" w:rsidRPr="00267BB4" w:rsidRDefault="00223BA8" w:rsidP="00CC266D">
      <w:pPr>
        <w:ind w:firstLine="709"/>
        <w:jc w:val="center"/>
        <w:rPr>
          <w:b/>
          <w:sz w:val="56"/>
          <w:szCs w:val="56"/>
        </w:rPr>
      </w:pPr>
    </w:p>
    <w:p w:rsidR="00223BA8" w:rsidRPr="005D593E" w:rsidRDefault="00223BA8" w:rsidP="00CC266D">
      <w:pPr>
        <w:ind w:firstLine="709"/>
        <w:jc w:val="center"/>
        <w:rPr>
          <w:sz w:val="40"/>
          <w:szCs w:val="40"/>
        </w:rPr>
      </w:pPr>
    </w:p>
    <w:p w:rsidR="00223BA8" w:rsidRPr="005D593E" w:rsidRDefault="00223BA8" w:rsidP="00CC266D">
      <w:pPr>
        <w:ind w:firstLine="709"/>
        <w:jc w:val="center"/>
        <w:rPr>
          <w:sz w:val="40"/>
          <w:szCs w:val="40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CC266D">
      <w:pPr>
        <w:ind w:firstLine="709"/>
        <w:jc w:val="center"/>
        <w:rPr>
          <w:b/>
          <w:sz w:val="28"/>
          <w:szCs w:val="28"/>
        </w:rPr>
      </w:pPr>
    </w:p>
    <w:p w:rsidR="00223BA8" w:rsidRDefault="00223BA8" w:rsidP="005D593E">
      <w:pPr>
        <w:ind w:firstLine="567"/>
        <w:jc w:val="both"/>
        <w:rPr>
          <w:sz w:val="28"/>
          <w:szCs w:val="28"/>
        </w:rPr>
      </w:pPr>
      <w:r w:rsidRPr="002E6037">
        <w:rPr>
          <w:sz w:val="28"/>
          <w:szCs w:val="28"/>
        </w:rPr>
        <w:lastRenderedPageBreak/>
        <w:t xml:space="preserve">Основные направления налоговой политики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(далее – основные направления) </w:t>
      </w:r>
      <w:r w:rsidRPr="002E6037">
        <w:rPr>
          <w:sz w:val="28"/>
          <w:szCs w:val="28"/>
        </w:rPr>
        <w:t xml:space="preserve">сформированы </w:t>
      </w:r>
      <w:r>
        <w:rPr>
          <w:sz w:val="28"/>
          <w:szCs w:val="28"/>
        </w:rPr>
        <w:t xml:space="preserve">с учетом </w:t>
      </w:r>
      <w:r w:rsidRPr="002E6037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2E603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2E6037">
        <w:rPr>
          <w:sz w:val="28"/>
          <w:szCs w:val="28"/>
        </w:rPr>
        <w:t xml:space="preserve"> налоговой политики</w:t>
      </w:r>
      <w:r>
        <w:rPr>
          <w:sz w:val="28"/>
          <w:szCs w:val="28"/>
        </w:rPr>
        <w:t xml:space="preserve"> </w:t>
      </w:r>
      <w:r w:rsidRPr="00617256">
        <w:rPr>
          <w:sz w:val="28"/>
          <w:szCs w:val="28"/>
        </w:rPr>
        <w:t>Красноярского края</w:t>
      </w:r>
      <w:r w:rsidRPr="002E6037">
        <w:rPr>
          <w:sz w:val="28"/>
          <w:szCs w:val="28"/>
        </w:rPr>
        <w:t xml:space="preserve"> </w:t>
      </w:r>
      <w:r>
        <w:rPr>
          <w:sz w:val="28"/>
          <w:szCs w:val="28"/>
        </w:rPr>
        <w:t>на 2015 год и плановый период 2016 и 2017 годов.</w:t>
      </w:r>
    </w:p>
    <w:p w:rsidR="00223BA8" w:rsidRDefault="00223BA8" w:rsidP="005D5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6037">
        <w:rPr>
          <w:sz w:val="28"/>
          <w:szCs w:val="28"/>
        </w:rPr>
        <w:t xml:space="preserve">сновные направления  подготовлены с целью составления проекта </w:t>
      </w:r>
      <w:r>
        <w:rPr>
          <w:sz w:val="28"/>
          <w:szCs w:val="28"/>
        </w:rPr>
        <w:t xml:space="preserve">районного </w:t>
      </w:r>
      <w:r w:rsidRPr="002E6037">
        <w:rPr>
          <w:sz w:val="28"/>
          <w:szCs w:val="28"/>
        </w:rPr>
        <w:t>бюджета на очередной финансовый год и двухлетний план</w:t>
      </w:r>
      <w:r>
        <w:rPr>
          <w:sz w:val="28"/>
          <w:szCs w:val="28"/>
        </w:rPr>
        <w:t>овый период.</w:t>
      </w:r>
      <w:r w:rsidRPr="002E6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отражают в целом тенденции  краевой налоговой среды, с учетом сложившейся практики применения налоговых льгот и изменений федерального налогового законодательства. </w:t>
      </w:r>
    </w:p>
    <w:p w:rsidR="00223BA8" w:rsidRPr="000B3994" w:rsidRDefault="00223BA8" w:rsidP="005D593E">
      <w:pPr>
        <w:ind w:firstLine="709"/>
        <w:jc w:val="both"/>
      </w:pPr>
    </w:p>
    <w:p w:rsidR="00223BA8" w:rsidRDefault="00223BA8" w:rsidP="005D593E">
      <w:pPr>
        <w:ind w:firstLine="709"/>
        <w:jc w:val="both"/>
        <w:rPr>
          <w:b/>
          <w:sz w:val="28"/>
          <w:szCs w:val="28"/>
        </w:rPr>
      </w:pPr>
      <w:r w:rsidRPr="00450F15">
        <w:rPr>
          <w:b/>
          <w:sz w:val="28"/>
          <w:szCs w:val="28"/>
        </w:rPr>
        <w:t>1. Итоги реализации налоговой политики в 201</w:t>
      </w:r>
      <w:r>
        <w:rPr>
          <w:b/>
          <w:sz w:val="28"/>
          <w:szCs w:val="28"/>
        </w:rPr>
        <w:t xml:space="preserve">4 </w:t>
      </w:r>
      <w:r w:rsidRPr="00450F15">
        <w:rPr>
          <w:b/>
          <w:sz w:val="28"/>
          <w:szCs w:val="28"/>
        </w:rPr>
        <w:t xml:space="preserve">году </w:t>
      </w:r>
    </w:p>
    <w:p w:rsidR="00223BA8" w:rsidRPr="000B3994" w:rsidRDefault="00223BA8" w:rsidP="005D593E">
      <w:pPr>
        <w:ind w:firstLine="709"/>
        <w:jc w:val="both"/>
        <w:rPr>
          <w:b/>
        </w:rPr>
      </w:pPr>
    </w:p>
    <w:p w:rsidR="00223BA8" w:rsidRPr="005E3776" w:rsidRDefault="00223BA8" w:rsidP="005D593E">
      <w:pPr>
        <w:ind w:firstLine="567"/>
        <w:jc w:val="both"/>
        <w:rPr>
          <w:rStyle w:val="a4"/>
          <w:i w:val="0"/>
          <w:iCs/>
          <w:sz w:val="28"/>
          <w:szCs w:val="28"/>
        </w:rPr>
      </w:pPr>
      <w:r>
        <w:rPr>
          <w:sz w:val="28"/>
          <w:szCs w:val="28"/>
        </w:rPr>
        <w:t>1.1</w:t>
      </w:r>
      <w:r w:rsidRPr="00D823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Основными налогоплательщиками на территории района являются предприятия сельского хозяйства, освобождение их </w:t>
      </w:r>
      <w:r w:rsidRPr="00383099">
        <w:rPr>
          <w:sz w:val="28"/>
          <w:szCs w:val="28"/>
        </w:rPr>
        <w:t>от уплаты налога на имущество</w:t>
      </w:r>
      <w:r>
        <w:rPr>
          <w:sz w:val="28"/>
          <w:szCs w:val="28"/>
        </w:rPr>
        <w:t xml:space="preserve"> на период 2013-2017 годов, является  одной из мер поддержки их финансового состояния, что может найти положительное отражение в поступлении других видов налогов в районный бюджет. А высвобождаемые средства направлять на развитие материально - технической базы.</w:t>
      </w:r>
    </w:p>
    <w:p w:rsidR="00223BA8" w:rsidRDefault="00223BA8" w:rsidP="005D593E">
      <w:pPr>
        <w:ind w:right="-30" w:firstLine="567"/>
        <w:jc w:val="both"/>
        <w:rPr>
          <w:rStyle w:val="apple-style-span"/>
          <w:color w:val="000000"/>
          <w:sz w:val="28"/>
          <w:szCs w:val="28"/>
        </w:rPr>
      </w:pPr>
      <w:r w:rsidRPr="00E534F4">
        <w:rPr>
          <w:rStyle w:val="apple-style-span"/>
          <w:color w:val="000000"/>
          <w:sz w:val="28"/>
          <w:szCs w:val="28"/>
        </w:rPr>
        <w:t xml:space="preserve">1.2. </w:t>
      </w:r>
      <w:proofErr w:type="gramStart"/>
      <w:r w:rsidRPr="00E534F4">
        <w:rPr>
          <w:rStyle w:val="apple-style-span"/>
          <w:color w:val="000000"/>
          <w:sz w:val="28"/>
          <w:szCs w:val="28"/>
        </w:rPr>
        <w:t>С</w:t>
      </w:r>
      <w:r>
        <w:rPr>
          <w:rStyle w:val="apple-style-span"/>
          <w:color w:val="000000"/>
          <w:sz w:val="28"/>
          <w:szCs w:val="28"/>
        </w:rPr>
        <w:t xml:space="preserve">о вступлением в действие </w:t>
      </w:r>
      <w:r w:rsidRPr="00E534F4">
        <w:rPr>
          <w:rStyle w:val="apple-style-span"/>
          <w:color w:val="000000"/>
          <w:sz w:val="28"/>
          <w:szCs w:val="28"/>
        </w:rPr>
        <w:t>патентн</w:t>
      </w:r>
      <w:r>
        <w:rPr>
          <w:rStyle w:val="apple-style-span"/>
          <w:color w:val="000000"/>
          <w:sz w:val="28"/>
          <w:szCs w:val="28"/>
        </w:rPr>
        <w:t>ой</w:t>
      </w:r>
      <w:r w:rsidRPr="00E534F4">
        <w:rPr>
          <w:rStyle w:val="apple-style-span"/>
          <w:color w:val="000000"/>
          <w:sz w:val="28"/>
          <w:szCs w:val="28"/>
        </w:rPr>
        <w:t xml:space="preserve"> систем</w:t>
      </w:r>
      <w:r>
        <w:rPr>
          <w:rStyle w:val="apple-style-span"/>
          <w:color w:val="000000"/>
          <w:sz w:val="28"/>
          <w:szCs w:val="28"/>
        </w:rPr>
        <w:t>ы</w:t>
      </w:r>
      <w:r w:rsidRPr="00E534F4">
        <w:rPr>
          <w:rStyle w:val="apple-style-span"/>
          <w:color w:val="000000"/>
          <w:sz w:val="28"/>
          <w:szCs w:val="28"/>
        </w:rPr>
        <w:t xml:space="preserve"> налогообложения для индивидуальных предпринимателей, которая в виде главы 26.5 «Патентная система налогообложения» </w:t>
      </w:r>
      <w:r>
        <w:rPr>
          <w:rStyle w:val="apple-style-span"/>
          <w:color w:val="000000"/>
          <w:sz w:val="28"/>
          <w:szCs w:val="28"/>
        </w:rPr>
        <w:t>Налогового кодекса</w:t>
      </w:r>
      <w:r w:rsidRPr="00E534F4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 xml:space="preserve">Российской Федерации </w:t>
      </w:r>
      <w:r w:rsidRPr="00E534F4">
        <w:rPr>
          <w:rStyle w:val="apple-style-span"/>
          <w:color w:val="000000"/>
          <w:sz w:val="28"/>
          <w:szCs w:val="28"/>
        </w:rPr>
        <w:t>выделена в самостоятельный специальный налоговый режим</w:t>
      </w:r>
      <w:r>
        <w:rPr>
          <w:rStyle w:val="apple-style-span"/>
          <w:color w:val="000000"/>
          <w:sz w:val="28"/>
          <w:szCs w:val="28"/>
        </w:rPr>
        <w:t xml:space="preserve">, администрация района продолжала проводить разъяснительную работу с индивидуальными предпринимателями, так как специальный налоговый режим по мере расширения сферы применения патентной системы налогообложения планируется отменить  с 2018 года. </w:t>
      </w:r>
      <w:proofErr w:type="gramEnd"/>
    </w:p>
    <w:p w:rsidR="00223BA8" w:rsidRDefault="00223BA8" w:rsidP="005D593E">
      <w:pPr>
        <w:ind w:right="-30"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Также проводились организационные мероприятия по проведению мониторинга потенциально возможного к получению индивидуальными предпринимателями годового дохода, с целью учёта результатов, при внесении изменений в Законодательство. </w:t>
      </w:r>
    </w:p>
    <w:p w:rsidR="00223BA8" w:rsidRDefault="00223BA8" w:rsidP="005D593E">
      <w:pPr>
        <w:ind w:right="-3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оэффициент базовой доходности  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ЕНВД  скорректирован по видам деятельности, в зависимости от места ее осуществления. Данный факт связан с удалённостью торговых объектов и объектов общественного питания от районного центра, численностью населения сельских поселений и его платежеспособностью. </w:t>
      </w:r>
    </w:p>
    <w:p w:rsidR="00223BA8" w:rsidRPr="00AB1701" w:rsidRDefault="00223BA8" w:rsidP="005D593E">
      <w:pPr>
        <w:ind w:right="-3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стимулирования развития малого предпринимательства </w:t>
      </w:r>
      <w:r>
        <w:rPr>
          <w:rStyle w:val="apple-style-span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оэффициент базовой доходности  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ЕНВД, на 2015 год, не пересмотрен,  увеличение поступления ЕНВД в бюджет района планируется за счет незначительного роста  числа индивидуальных предпринимателей, чему способствуют меры поддержки, вновь созданных предпринимателей, в рамках реализации  муниципальной программы </w:t>
      </w:r>
      <w:r w:rsidRPr="00AB1701">
        <w:rPr>
          <w:rFonts w:ascii="Times New Roman CYR" w:hAnsi="Times New Roman CYR" w:cs="Times New Roman CYR"/>
          <w:sz w:val="28"/>
          <w:szCs w:val="28"/>
        </w:rPr>
        <w:t>“</w:t>
      </w:r>
      <w:r w:rsidRPr="00AB1701">
        <w:rPr>
          <w:sz w:val="28"/>
          <w:szCs w:val="28"/>
        </w:rPr>
        <w:t xml:space="preserve"> Содействие в развитии и поддержка малого и среднего предпринимательства в Идринском районе</w:t>
      </w:r>
      <w:r w:rsidRPr="00AB1701">
        <w:rPr>
          <w:rFonts w:ascii="Times New Roman CYR" w:hAnsi="Times New Roman CYR" w:cs="Times New Roman CYR"/>
          <w:sz w:val="28"/>
          <w:szCs w:val="28"/>
        </w:rPr>
        <w:t>”</w:t>
      </w:r>
      <w:r>
        <w:rPr>
          <w:rFonts w:ascii="Times New Roman CYR" w:hAnsi="Times New Roman CYR" w:cs="Times New Roman CYR"/>
          <w:sz w:val="28"/>
          <w:szCs w:val="28"/>
        </w:rPr>
        <w:t>, а также за счёт увеличения торговых площадей, действующих  объектов торговли.</w:t>
      </w:r>
    </w:p>
    <w:p w:rsidR="00223BA8" w:rsidRPr="00AB1701" w:rsidRDefault="00223BA8" w:rsidP="005D593E">
      <w:pPr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223BA8" w:rsidRPr="00162BA0" w:rsidRDefault="00223BA8" w:rsidP="005D5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сфере осуществления регулирования земельных отношений:</w:t>
      </w:r>
    </w:p>
    <w:p w:rsidR="00223BA8" w:rsidRPr="004C603F" w:rsidRDefault="00223BA8" w:rsidP="005F1E5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3F">
        <w:rPr>
          <w:sz w:val="28"/>
          <w:szCs w:val="28"/>
        </w:rPr>
        <w:t>п</w:t>
      </w:r>
      <w:r w:rsidRPr="004C603F">
        <w:rPr>
          <w:color w:val="000000"/>
          <w:sz w:val="28"/>
          <w:szCs w:val="28"/>
        </w:rPr>
        <w:t>роведена инвентаризаци</w:t>
      </w:r>
      <w:r>
        <w:rPr>
          <w:color w:val="000000"/>
          <w:sz w:val="28"/>
          <w:szCs w:val="28"/>
        </w:rPr>
        <w:t>я</w:t>
      </w:r>
      <w:r w:rsidRPr="004C603F">
        <w:rPr>
          <w:color w:val="000000"/>
          <w:sz w:val="28"/>
          <w:szCs w:val="28"/>
        </w:rPr>
        <w:t xml:space="preserve"> и рассмотрены результаты оценки эффективности действующих налоговых льгот</w:t>
      </w:r>
      <w:r>
        <w:rPr>
          <w:color w:val="000000"/>
          <w:sz w:val="28"/>
          <w:szCs w:val="28"/>
        </w:rPr>
        <w:t>;</w:t>
      </w:r>
    </w:p>
    <w:p w:rsidR="00223BA8" w:rsidRDefault="00223BA8" w:rsidP="005F1E5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50296C">
        <w:rPr>
          <w:color w:val="000000"/>
          <w:sz w:val="28"/>
          <w:szCs w:val="28"/>
        </w:rPr>
        <w:t xml:space="preserve">проводилась работа по выявлению фактически используемых, </w:t>
      </w:r>
      <w:r w:rsidRPr="0050296C">
        <w:rPr>
          <w:color w:val="000000"/>
          <w:sz w:val="28"/>
          <w:szCs w:val="28"/>
        </w:rPr>
        <w:br/>
        <w:t>но не поставленных на кадастровый учет земельных участков, установление (уточнение) категорий и/или видов разрешенного использования земельных участков;</w:t>
      </w:r>
      <w:r>
        <w:rPr>
          <w:color w:val="000000"/>
        </w:rPr>
        <w:t xml:space="preserve"> </w:t>
      </w:r>
    </w:p>
    <w:p w:rsidR="00223BA8" w:rsidRPr="00D67A26" w:rsidRDefault="00223BA8" w:rsidP="009821E3">
      <w:pPr>
        <w:ind w:firstLine="567"/>
        <w:jc w:val="both"/>
        <w:rPr>
          <w:color w:val="800000"/>
        </w:rPr>
      </w:pPr>
      <w:r>
        <w:rPr>
          <w:color w:val="000000"/>
        </w:rPr>
        <w:t xml:space="preserve">- </w:t>
      </w:r>
      <w:r w:rsidRPr="0050296C">
        <w:rPr>
          <w:color w:val="000000"/>
          <w:sz w:val="28"/>
          <w:szCs w:val="28"/>
        </w:rPr>
        <w:t>совместно с органами местного самоуправления поселений проводилась работа по уточнению сведений о земельных участках и иных объектах недвижимого имущества и их правообладателях  для формирования полной и достоверной базы, передаваемой налоговым органам</w:t>
      </w:r>
      <w:r w:rsidRPr="002A44D6">
        <w:rPr>
          <w:sz w:val="28"/>
          <w:szCs w:val="28"/>
        </w:rPr>
        <w:t>;</w:t>
      </w:r>
      <w:r w:rsidRPr="00D67A26">
        <w:rPr>
          <w:color w:val="800000"/>
        </w:rPr>
        <w:t xml:space="preserve"> </w:t>
      </w:r>
    </w:p>
    <w:p w:rsidR="00223BA8" w:rsidRDefault="00223BA8" w:rsidP="005D593E">
      <w:pPr>
        <w:ind w:firstLine="709"/>
        <w:jc w:val="both"/>
        <w:rPr>
          <w:sz w:val="28"/>
          <w:szCs w:val="28"/>
        </w:rPr>
      </w:pPr>
      <w:r w:rsidRPr="008736A9">
        <w:rPr>
          <w:sz w:val="28"/>
          <w:szCs w:val="28"/>
        </w:rPr>
        <w:t xml:space="preserve">- органам местного самоуправления поселений, рекомендовано проводить дальнейшую работу с населением по идентификации земельных участков. </w:t>
      </w:r>
    </w:p>
    <w:p w:rsidR="00223BA8" w:rsidRDefault="00223BA8" w:rsidP="005D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мероприятия положительно скажутся на доходной базе района.</w:t>
      </w:r>
    </w:p>
    <w:p w:rsidR="00223BA8" w:rsidRDefault="00223BA8" w:rsidP="005D5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целью увеличения налогооблагаемой базы по налогу на имущество физических лиц проводилась работа по уточнению сведений об объектах недвижимости по поселениям района, которые были ориентированы на совместную работу с налоговыми органами по выявлению неучтенных объектов. </w:t>
      </w:r>
    </w:p>
    <w:p w:rsidR="00223BA8" w:rsidRDefault="00223BA8" w:rsidP="00BA1295">
      <w:pPr>
        <w:ind w:firstLine="709"/>
        <w:jc w:val="both"/>
        <w:rPr>
          <w:sz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связи с вступлением в силу Федерального Закона от 04. 10. 2014 № 284 -  ФЗ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муниципальным поселениям района  оказана помощь в подготовке проектов нормативных актов по налогу на недвижимое имущество физических лиц, на 2015 год.</w:t>
      </w:r>
    </w:p>
    <w:p w:rsidR="00223BA8" w:rsidRDefault="00223BA8" w:rsidP="005D5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увеличения поступлений в консолидированный бюджет района по налогу на доходы физических лиц проводилась работа с обособленными подразделениями района по уточнению зачислений налога в бюджет района. </w:t>
      </w:r>
    </w:p>
    <w:p w:rsidR="00223BA8" w:rsidRDefault="00223BA8" w:rsidP="005D59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Работа </w:t>
      </w:r>
      <w:r w:rsidRPr="007771A7">
        <w:rPr>
          <w:sz w:val="28"/>
          <w:szCs w:val="28"/>
        </w:rPr>
        <w:t>“Межведомственной комиссии по обеспечению прав граждан на вознаграждение за труд, по снижению задолженности и взысканию недоимки по налогам и сборам в консолидированный бюджет края, и по проведению работы по легализа</w:t>
      </w:r>
      <w:r>
        <w:rPr>
          <w:sz w:val="28"/>
          <w:szCs w:val="28"/>
        </w:rPr>
        <w:t xml:space="preserve">ции </w:t>
      </w:r>
      <w:r w:rsidRPr="007771A7">
        <w:rPr>
          <w:sz w:val="28"/>
          <w:szCs w:val="28"/>
        </w:rPr>
        <w:t>«теневой» заработной платы во внебюджетном секторе экономики”</w:t>
      </w:r>
      <w:r>
        <w:rPr>
          <w:sz w:val="28"/>
          <w:szCs w:val="28"/>
        </w:rPr>
        <w:t xml:space="preserve">, как и в предыдущие годы, была направлена на пополнение </w:t>
      </w:r>
      <w:r w:rsidRPr="004F2421">
        <w:rPr>
          <w:sz w:val="28"/>
          <w:szCs w:val="28"/>
        </w:rPr>
        <w:t xml:space="preserve"> доходной части бюджетов</w:t>
      </w:r>
      <w:r>
        <w:rPr>
          <w:sz w:val="28"/>
          <w:szCs w:val="28"/>
        </w:rPr>
        <w:t xml:space="preserve"> всех уровней, обеспечение полного и своевременного взимания налогов и других</w:t>
      </w:r>
      <w:proofErr w:type="gramEnd"/>
      <w:r>
        <w:rPr>
          <w:sz w:val="28"/>
          <w:szCs w:val="28"/>
        </w:rPr>
        <w:t xml:space="preserve"> обязательных платежей, а так же обеспечение социальных гарантий граждан, проживающих на территории района.</w:t>
      </w:r>
    </w:p>
    <w:p w:rsidR="00223BA8" w:rsidRDefault="00223BA8" w:rsidP="005D593E">
      <w:pPr>
        <w:ind w:firstLine="709"/>
        <w:jc w:val="center"/>
        <w:rPr>
          <w:b/>
          <w:sz w:val="28"/>
          <w:szCs w:val="28"/>
        </w:rPr>
      </w:pPr>
      <w:r w:rsidRPr="00450F15">
        <w:rPr>
          <w:b/>
          <w:sz w:val="28"/>
          <w:szCs w:val="28"/>
        </w:rPr>
        <w:t xml:space="preserve">2. Меры в области налоговой политики, планируемые </w:t>
      </w:r>
      <w:r>
        <w:rPr>
          <w:b/>
          <w:sz w:val="28"/>
          <w:szCs w:val="28"/>
        </w:rPr>
        <w:br/>
      </w:r>
      <w:r w:rsidRPr="00450F15">
        <w:rPr>
          <w:b/>
          <w:sz w:val="28"/>
          <w:szCs w:val="28"/>
        </w:rPr>
        <w:t xml:space="preserve">к реализации </w:t>
      </w:r>
      <w:r>
        <w:rPr>
          <w:b/>
          <w:sz w:val="28"/>
          <w:szCs w:val="28"/>
        </w:rPr>
        <w:t xml:space="preserve"> </w:t>
      </w:r>
      <w:r w:rsidRPr="00450F15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5</w:t>
      </w:r>
      <w:r w:rsidRPr="00450F15">
        <w:rPr>
          <w:b/>
          <w:sz w:val="28"/>
          <w:szCs w:val="28"/>
        </w:rPr>
        <w:t xml:space="preserve"> году и плановом периоде 201</w:t>
      </w:r>
      <w:r>
        <w:rPr>
          <w:b/>
          <w:sz w:val="28"/>
          <w:szCs w:val="28"/>
        </w:rPr>
        <w:t>6</w:t>
      </w:r>
      <w:r w:rsidRPr="00450F15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450F15">
        <w:rPr>
          <w:b/>
          <w:sz w:val="28"/>
          <w:szCs w:val="28"/>
        </w:rPr>
        <w:t xml:space="preserve"> годов.</w:t>
      </w:r>
    </w:p>
    <w:p w:rsidR="00223BA8" w:rsidRPr="000B3994" w:rsidRDefault="00223BA8" w:rsidP="005D593E">
      <w:pPr>
        <w:ind w:firstLine="709"/>
        <w:jc w:val="both"/>
        <w:rPr>
          <w:b/>
        </w:rPr>
      </w:pPr>
    </w:p>
    <w:p w:rsidR="00223BA8" w:rsidRDefault="00223BA8" w:rsidP="005D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в 2015 году и на период до 2017 года 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 w:rsidRPr="005A05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23BA8" w:rsidRPr="000F3D8A" w:rsidRDefault="00223BA8" w:rsidP="005D59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-а</w:t>
      </w:r>
      <w:r w:rsidRPr="000F3D8A">
        <w:rPr>
          <w:color w:val="000000"/>
          <w:sz w:val="28"/>
          <w:szCs w:val="28"/>
        </w:rPr>
        <w:t>ктивизаци</w:t>
      </w:r>
      <w:r>
        <w:rPr>
          <w:color w:val="000000"/>
          <w:sz w:val="28"/>
          <w:szCs w:val="28"/>
        </w:rPr>
        <w:t>ю</w:t>
      </w:r>
      <w:r w:rsidRPr="000F3D8A">
        <w:rPr>
          <w:color w:val="000000"/>
          <w:sz w:val="28"/>
          <w:szCs w:val="28"/>
        </w:rPr>
        <w:t xml:space="preserve"> работы органов исполнительной власти совместно с налоговыми и иными контролирующими органами</w:t>
      </w:r>
      <w:r>
        <w:rPr>
          <w:color w:val="000000"/>
          <w:sz w:val="28"/>
          <w:szCs w:val="28"/>
        </w:rPr>
        <w:t>;</w:t>
      </w:r>
    </w:p>
    <w:p w:rsidR="00223BA8" w:rsidRPr="000F3D8A" w:rsidRDefault="00223BA8" w:rsidP="005D593E">
      <w:pPr>
        <w:pStyle w:val="a3"/>
        <w:spacing w:before="0" w:beforeAutospacing="0" w:after="0"/>
        <w:ind w:right="-1" w:firstLine="708"/>
        <w:jc w:val="both"/>
        <w:rPr>
          <w:color w:val="000000"/>
          <w:sz w:val="28"/>
          <w:szCs w:val="28"/>
        </w:rPr>
      </w:pPr>
      <w:r w:rsidRPr="000F3D8A">
        <w:rPr>
          <w:color w:val="000000"/>
          <w:sz w:val="28"/>
          <w:szCs w:val="28"/>
        </w:rPr>
        <w:t xml:space="preserve"> - сокращени</w:t>
      </w:r>
      <w:r>
        <w:rPr>
          <w:color w:val="000000"/>
          <w:sz w:val="28"/>
          <w:szCs w:val="28"/>
        </w:rPr>
        <w:t>е</w:t>
      </w:r>
      <w:r w:rsidRPr="000F3D8A">
        <w:rPr>
          <w:color w:val="000000"/>
          <w:sz w:val="28"/>
          <w:szCs w:val="28"/>
        </w:rPr>
        <w:t xml:space="preserve"> задолженности по налоговым платежам, своевременной уплате текущих платежей;</w:t>
      </w:r>
    </w:p>
    <w:p w:rsidR="00223BA8" w:rsidRPr="000F3D8A" w:rsidRDefault="00223BA8" w:rsidP="005D593E">
      <w:pPr>
        <w:pStyle w:val="a3"/>
        <w:spacing w:before="0" w:beforeAutospacing="0" w:after="0"/>
        <w:ind w:right="-1" w:firstLine="708"/>
        <w:jc w:val="both"/>
        <w:rPr>
          <w:color w:val="000000"/>
          <w:sz w:val="28"/>
          <w:szCs w:val="28"/>
        </w:rPr>
      </w:pPr>
      <w:r w:rsidRPr="000F3D8A">
        <w:rPr>
          <w:color w:val="000000"/>
          <w:sz w:val="28"/>
          <w:szCs w:val="28"/>
        </w:rPr>
        <w:t>- целенаправленн</w:t>
      </w:r>
      <w:r>
        <w:rPr>
          <w:color w:val="000000"/>
          <w:sz w:val="28"/>
          <w:szCs w:val="28"/>
        </w:rPr>
        <w:t>ую</w:t>
      </w:r>
      <w:r w:rsidRPr="000F3D8A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0F3D8A">
        <w:rPr>
          <w:color w:val="000000"/>
          <w:sz w:val="28"/>
          <w:szCs w:val="28"/>
        </w:rPr>
        <w:t xml:space="preserve"> с предприятиями, имеющими задолженность по начисленным налогам, пеням и штрафам, осуществление мер принудительного взыскания задолженности по платежам в бюджет района;</w:t>
      </w:r>
    </w:p>
    <w:p w:rsidR="00223BA8" w:rsidRDefault="00223BA8" w:rsidP="00C148DC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</w:rPr>
        <w:t>.</w:t>
      </w:r>
      <w:r w:rsidRPr="00C148DC">
        <w:rPr>
          <w:color w:val="000000"/>
          <w:sz w:val="28"/>
          <w:szCs w:val="28"/>
        </w:rPr>
        <w:t xml:space="preserve">проведение анализа условий действующих договоров </w:t>
      </w:r>
      <w:r w:rsidRPr="00C148DC">
        <w:rPr>
          <w:color w:val="000000"/>
          <w:sz w:val="28"/>
          <w:szCs w:val="28"/>
        </w:rPr>
        <w:br/>
        <w:t xml:space="preserve">аренды на предмет возможности ежегодного пересмотра </w:t>
      </w:r>
      <w:r w:rsidRPr="00C148DC">
        <w:rPr>
          <w:color w:val="000000"/>
          <w:sz w:val="28"/>
          <w:szCs w:val="28"/>
        </w:rPr>
        <w:br/>
        <w:t>арендной платы с учетом темпов инфляции</w:t>
      </w:r>
      <w:r>
        <w:rPr>
          <w:color w:val="000000"/>
          <w:sz w:val="28"/>
          <w:szCs w:val="28"/>
        </w:rPr>
        <w:t>;</w:t>
      </w:r>
    </w:p>
    <w:p w:rsidR="00223BA8" w:rsidRDefault="00223BA8" w:rsidP="00C148DC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Pr="00C148DC">
        <w:rPr>
          <w:color w:val="000000"/>
          <w:sz w:val="28"/>
          <w:szCs w:val="28"/>
        </w:rPr>
        <w:t>проведение  анализа  соотношения  действующих  ставок  арендной платы,</w:t>
      </w:r>
      <w:r>
        <w:rPr>
          <w:color w:val="000000"/>
          <w:sz w:val="28"/>
          <w:szCs w:val="28"/>
        </w:rPr>
        <w:t xml:space="preserve"> </w:t>
      </w:r>
      <w:r w:rsidRPr="00C148DC">
        <w:rPr>
          <w:color w:val="000000"/>
          <w:sz w:val="28"/>
          <w:szCs w:val="28"/>
        </w:rPr>
        <w:t xml:space="preserve">установленных  муниципальными  нормативными </w:t>
      </w:r>
      <w:r w:rsidRPr="00C148DC">
        <w:rPr>
          <w:color w:val="000000"/>
          <w:sz w:val="28"/>
          <w:szCs w:val="28"/>
        </w:rPr>
        <w:br/>
        <w:t>правовыми актами, и рыночных ставок, сложившихся на территории   муниципального образования</w:t>
      </w:r>
      <w:r>
        <w:rPr>
          <w:color w:val="000000"/>
          <w:sz w:val="28"/>
          <w:szCs w:val="28"/>
        </w:rPr>
        <w:t>;</w:t>
      </w:r>
      <w:r>
        <w:rPr>
          <w:color w:val="000000"/>
        </w:rPr>
        <w:t xml:space="preserve"> </w:t>
      </w:r>
    </w:p>
    <w:p w:rsidR="00223BA8" w:rsidRDefault="00223BA8" w:rsidP="005D593E">
      <w:pPr>
        <w:pStyle w:val="a3"/>
        <w:spacing w:before="0" w:beforeAutospacing="0" w:after="0"/>
        <w:ind w:right="-1" w:firstLine="708"/>
        <w:jc w:val="both"/>
        <w:rPr>
          <w:color w:val="000000"/>
          <w:sz w:val="28"/>
          <w:szCs w:val="28"/>
        </w:rPr>
      </w:pPr>
      <w:r w:rsidRPr="000F3D8A">
        <w:rPr>
          <w:color w:val="000000"/>
          <w:sz w:val="28"/>
          <w:szCs w:val="28"/>
        </w:rPr>
        <w:t>- работа по выявлению и привлечению владельцев неучтенных земельных участков и индивидуальных жилых домов</w:t>
      </w:r>
      <w:r>
        <w:rPr>
          <w:color w:val="000000"/>
          <w:sz w:val="28"/>
          <w:szCs w:val="28"/>
        </w:rPr>
        <w:t>,</w:t>
      </w:r>
      <w:r w:rsidRPr="000F3D8A">
        <w:rPr>
          <w:color w:val="000000"/>
          <w:sz w:val="28"/>
          <w:szCs w:val="28"/>
        </w:rPr>
        <w:t xml:space="preserve"> к регистрации прав собственности на имущество;</w:t>
      </w:r>
    </w:p>
    <w:p w:rsidR="00223BA8" w:rsidRDefault="00223BA8" w:rsidP="002474A8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C148DC">
        <w:rPr>
          <w:color w:val="000000"/>
          <w:sz w:val="28"/>
          <w:szCs w:val="28"/>
        </w:rPr>
        <w:t>ров</w:t>
      </w:r>
      <w:r>
        <w:rPr>
          <w:color w:val="000000"/>
          <w:sz w:val="28"/>
          <w:szCs w:val="28"/>
        </w:rPr>
        <w:t xml:space="preserve">едение </w:t>
      </w:r>
      <w:r w:rsidRPr="00C148DC">
        <w:rPr>
          <w:color w:val="000000"/>
          <w:sz w:val="28"/>
          <w:szCs w:val="28"/>
        </w:rPr>
        <w:t xml:space="preserve"> разъяснительн</w:t>
      </w:r>
      <w:r>
        <w:rPr>
          <w:color w:val="000000"/>
          <w:sz w:val="28"/>
          <w:szCs w:val="28"/>
        </w:rPr>
        <w:t xml:space="preserve">ой </w:t>
      </w:r>
      <w:r w:rsidRPr="00C148DC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ы </w:t>
      </w:r>
      <w:r w:rsidRPr="00C148DC">
        <w:rPr>
          <w:color w:val="000000"/>
          <w:sz w:val="28"/>
          <w:szCs w:val="28"/>
        </w:rPr>
        <w:t>с владельцами объектов недвижимости о необходимости проведения технической инвентаризации и регистрации права собственности</w:t>
      </w:r>
      <w:r>
        <w:rPr>
          <w:color w:val="000000"/>
          <w:sz w:val="28"/>
          <w:szCs w:val="28"/>
        </w:rPr>
        <w:t>;</w:t>
      </w:r>
    </w:p>
    <w:p w:rsidR="00223BA8" w:rsidRDefault="00223BA8" w:rsidP="005D593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- в связи с вступлением в силу Федерального Закона от 04. 10. 2014 № 284 -  ФЗ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рекомендовать главам поселений района информировать население о предстоящих изменениях в исчислении налога на недвижимое имущество – определение</w:t>
      </w:r>
      <w:proofErr w:type="gramEnd"/>
      <w:r>
        <w:rPr>
          <w:sz w:val="28"/>
        </w:rPr>
        <w:t xml:space="preserve"> налоговой базы исходя из кадастровой стоимости объекта налогообложения;  </w:t>
      </w:r>
    </w:p>
    <w:p w:rsidR="00223BA8" w:rsidRDefault="00223BA8" w:rsidP="005D593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412B5">
        <w:rPr>
          <w:sz w:val="28"/>
        </w:rPr>
        <w:t xml:space="preserve">обеспечение необходимого уровня доходов </w:t>
      </w:r>
      <w:r>
        <w:rPr>
          <w:sz w:val="28"/>
        </w:rPr>
        <w:t xml:space="preserve">и оптимизацию расходов </w:t>
      </w:r>
      <w:r w:rsidRPr="005412B5">
        <w:rPr>
          <w:sz w:val="28"/>
        </w:rPr>
        <w:t xml:space="preserve">бюджета </w:t>
      </w:r>
      <w:r>
        <w:rPr>
          <w:sz w:val="28"/>
        </w:rPr>
        <w:t>района</w:t>
      </w:r>
      <w:r w:rsidRPr="005412B5">
        <w:rPr>
          <w:sz w:val="28"/>
        </w:rPr>
        <w:t xml:space="preserve">; </w:t>
      </w:r>
    </w:p>
    <w:p w:rsidR="00223BA8" w:rsidRDefault="00223BA8" w:rsidP="005D5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6E4B">
        <w:rPr>
          <w:sz w:val="28"/>
          <w:szCs w:val="28"/>
        </w:rPr>
        <w:t xml:space="preserve">еализация основных направлений налоговой политики будет проводиться на основе анализа практики применения </w:t>
      </w:r>
      <w:r>
        <w:rPr>
          <w:sz w:val="28"/>
          <w:szCs w:val="28"/>
        </w:rPr>
        <w:t xml:space="preserve">действующих налогов и установленных </w:t>
      </w:r>
      <w:r w:rsidRPr="00576E4B">
        <w:rPr>
          <w:sz w:val="28"/>
          <w:szCs w:val="28"/>
        </w:rPr>
        <w:t>налоговых льгот</w:t>
      </w:r>
      <w:r>
        <w:rPr>
          <w:sz w:val="28"/>
          <w:szCs w:val="28"/>
        </w:rPr>
        <w:t>.</w:t>
      </w:r>
    </w:p>
    <w:p w:rsidR="00223BA8" w:rsidRDefault="00223BA8" w:rsidP="002A44D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23BA8" w:rsidRDefault="00223BA8" w:rsidP="002A44D6">
      <w:pPr>
        <w:jc w:val="both"/>
        <w:rPr>
          <w:color w:val="000000"/>
        </w:rPr>
      </w:pPr>
    </w:p>
    <w:sectPr w:rsidR="00223BA8" w:rsidSect="00E4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66D"/>
    <w:rsid w:val="000B3994"/>
    <w:rsid w:val="000F3B9D"/>
    <w:rsid w:val="000F3D8A"/>
    <w:rsid w:val="00162BA0"/>
    <w:rsid w:val="001C74D8"/>
    <w:rsid w:val="001F232B"/>
    <w:rsid w:val="00223BA8"/>
    <w:rsid w:val="002474A8"/>
    <w:rsid w:val="00267BB4"/>
    <w:rsid w:val="002807F0"/>
    <w:rsid w:val="002A44D6"/>
    <w:rsid w:val="002E6037"/>
    <w:rsid w:val="002F3F7D"/>
    <w:rsid w:val="003231E7"/>
    <w:rsid w:val="00383099"/>
    <w:rsid w:val="00416460"/>
    <w:rsid w:val="00426F84"/>
    <w:rsid w:val="00427013"/>
    <w:rsid w:val="00450F15"/>
    <w:rsid w:val="004C603F"/>
    <w:rsid w:val="004F2421"/>
    <w:rsid w:val="0050296C"/>
    <w:rsid w:val="005412B5"/>
    <w:rsid w:val="00576E4B"/>
    <w:rsid w:val="005A05CC"/>
    <w:rsid w:val="005D593E"/>
    <w:rsid w:val="005D7C72"/>
    <w:rsid w:val="005E3776"/>
    <w:rsid w:val="005F1E5C"/>
    <w:rsid w:val="00617256"/>
    <w:rsid w:val="007771A7"/>
    <w:rsid w:val="007B59A4"/>
    <w:rsid w:val="008736A9"/>
    <w:rsid w:val="00890233"/>
    <w:rsid w:val="00920816"/>
    <w:rsid w:val="00945DF3"/>
    <w:rsid w:val="0095719F"/>
    <w:rsid w:val="009821E3"/>
    <w:rsid w:val="00AA72B2"/>
    <w:rsid w:val="00AB1701"/>
    <w:rsid w:val="00B127BD"/>
    <w:rsid w:val="00BA1295"/>
    <w:rsid w:val="00BB7041"/>
    <w:rsid w:val="00C148DC"/>
    <w:rsid w:val="00CC266D"/>
    <w:rsid w:val="00CC4C10"/>
    <w:rsid w:val="00D17A0F"/>
    <w:rsid w:val="00D31D32"/>
    <w:rsid w:val="00D67A26"/>
    <w:rsid w:val="00D82377"/>
    <w:rsid w:val="00E23CEF"/>
    <w:rsid w:val="00E41F08"/>
    <w:rsid w:val="00E47681"/>
    <w:rsid w:val="00E5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266D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266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CC266D"/>
    <w:pPr>
      <w:spacing w:before="100" w:beforeAutospacing="1" w:after="100"/>
    </w:pPr>
  </w:style>
  <w:style w:type="character" w:customStyle="1" w:styleId="apple-style-span">
    <w:name w:val="apple-style-span"/>
    <w:basedOn w:val="a0"/>
    <w:uiPriority w:val="99"/>
    <w:rsid w:val="00CC266D"/>
    <w:rPr>
      <w:rFonts w:cs="Times New Roman"/>
    </w:rPr>
  </w:style>
  <w:style w:type="character" w:styleId="a4">
    <w:name w:val="Emphasis"/>
    <w:basedOn w:val="a0"/>
    <w:uiPriority w:val="99"/>
    <w:qFormat/>
    <w:rsid w:val="00CC266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879</Words>
  <Characters>6163</Characters>
  <Application>Microsoft Office Word</Application>
  <DocSecurity>0</DocSecurity>
  <Lines>51</Lines>
  <Paragraphs>14</Paragraphs>
  <ScaleCrop>false</ScaleCrop>
  <Company>CtrlSoft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Типишкина</dc:creator>
  <cp:keywords/>
  <dc:description/>
  <cp:lastModifiedBy>BTR</cp:lastModifiedBy>
  <cp:revision>20</cp:revision>
  <cp:lastPrinted>2013-11-12T07:17:00Z</cp:lastPrinted>
  <dcterms:created xsi:type="dcterms:W3CDTF">2013-11-12T06:46:00Z</dcterms:created>
  <dcterms:modified xsi:type="dcterms:W3CDTF">2014-11-13T01:57:00Z</dcterms:modified>
</cp:coreProperties>
</file>