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DB0912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DB091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DB091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DB0912" w:rsidP="007E3A29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24</w:t>
                  </w:r>
                  <w:r w:rsidR="00077394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9223AE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7E3A2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077394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.201</w:t>
                  </w:r>
                  <w:r w:rsidR="005F63D1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DB0912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DB091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956</w:t>
                  </w: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1.Внести в постановление администрации района от 10.11.2015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№ 460-п «Об утверждении муниципальной программы Обеспечение жизнедеятельности территории Идринского района» следующее изменение: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выполнением постановления возложить на заместителя главы района по обеспечению жизнедеятельности района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А.А.Орешкова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hyperlink r:id="rId10" w:history="1"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</w:rPr>
          <w:t>-</w:t>
        </w:r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5F63D1" w:rsidRPr="00DB0912">
          <w:rPr>
            <w:rStyle w:val="ab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А.В. Киреев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77394" w:rsidRPr="00077394" w:rsidTr="00F203BA">
        <w:trPr>
          <w:trHeight w:val="1704"/>
        </w:trPr>
        <w:tc>
          <w:tcPr>
            <w:tcW w:w="5919" w:type="dxa"/>
          </w:tcPr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5F63D1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09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B0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53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B0912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bookmarkStart w:id="0" w:name="_GoBack"/>
            <w:bookmarkEnd w:id="0"/>
            <w:r w:rsidR="00077394" w:rsidRPr="0007739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F63D1" w:rsidRPr="00077394" w:rsidRDefault="005F63D1" w:rsidP="005F6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5F63D1" w:rsidRPr="00077394" w:rsidRDefault="005F63D1" w:rsidP="005F6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5F63D1" w:rsidP="005F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5F63D1" w:rsidRPr="00F63C42" w:rsidRDefault="005F63D1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</w:t>
            </w:r>
            <w:r w:rsidR="00387BA8"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МКУ «Межведомственная централизованная бухгалтерия»,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 возникновения и развития чрезвычайных ситуаций природного и техногенного характера.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B7399B" w:rsidRPr="000C223E" w:rsidRDefault="00B7399B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077394" w:rsidRPr="00F63C42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Мероприятие 1. Развитие услуг связи</w:t>
            </w:r>
          </w:p>
          <w:p w:rsidR="005F63D1" w:rsidRPr="005F63D1" w:rsidRDefault="005F63D1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района.</w:t>
            </w:r>
          </w:p>
          <w:p w:rsidR="009D3E41" w:rsidRDefault="009D3E41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3E476C" w:rsidRDefault="009D3E41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взаимодействия граждан, организаций и государства на основе информационных и </w:t>
            </w:r>
            <w:r w:rsid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453E22" w:rsidRPr="003E476C" w:rsidRDefault="00453E22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169 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39 353 231,66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130 425 26</w:t>
            </w:r>
            <w:r w:rsidR="00DD770C" w:rsidRPr="00DD77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,40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по годам: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53E22" w:rsidRPr="00DD770C">
              <w:rPr>
                <w:rFonts w:ascii="Times New Roman" w:hAnsi="Times New Roman" w:cs="Times New Roman"/>
                <w:sz w:val="28"/>
                <w:szCs w:val="28"/>
              </w:rPr>
              <w:t>18 215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038,00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17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579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2017 год – 30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в том числе за счет с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редств районного бюджета 20 266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10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3C42" w:rsidRPr="00DD77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за 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счет сре</w:t>
            </w:r>
            <w:proofErr w:type="gramStart"/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D3F" w:rsidRPr="00DD770C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307DDA" w:rsidRPr="00DD770C">
              <w:rPr>
                <w:rFonts w:ascii="Times New Roman" w:hAnsi="Times New Roman" w:cs="Times New Roman"/>
                <w:sz w:val="28"/>
                <w:szCs w:val="28"/>
              </w:rPr>
              <w:t>39 232 722,06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25 107 790,40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14 124 931,66 </w:t>
            </w: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73F8" w:rsidRPr="00DD7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223E" w:rsidRPr="00DD770C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 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73 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77394" w:rsidRPr="00DD770C" w:rsidRDefault="00077394" w:rsidP="007A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0C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53E" w:rsidRPr="00DD770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аевого бюджета  1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A2AB5" w:rsidRPr="00DD770C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75413" w:rsidRPr="00DD770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3E476C" w:rsidRDefault="003E476C" w:rsidP="003E47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476C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3E476C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Default="003E476C" w:rsidP="003E4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по итогам  2017 года составил </w:t>
      </w:r>
      <w:r>
        <w:rPr>
          <w:rFonts w:ascii="Times New Roman CYR" w:hAnsi="Times New Roman CYR" w:cs="Times New Roman CYR"/>
          <w:kern w:val="20"/>
          <w:sz w:val="28"/>
          <w:szCs w:val="28"/>
        </w:rPr>
        <w:t>2374,3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тыс. руб. 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lastRenderedPageBreak/>
        <w:t>Количество телефонных аппаратов телефонной сети общего пользования, или имеющих на неё выход на конец 2017 года составляет 2520 штук.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эксплуатацией многоквартирного жилого фонда. В обслуживании управляющей компании 18 многоквартирных жилых домов. 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077394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47 % имеющихся водопроводных сетей;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077394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Default="00077394" w:rsidP="009223AE">
      <w:pPr>
        <w:spacing w:after="0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02559F" w:rsidRDefault="0002559F" w:rsidP="009223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ab/>
        <w:t xml:space="preserve"> Согласно Федеральному закону</w:t>
      </w:r>
      <w:r w:rsidR="009223AE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02559F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чертой информационного общества является увеличение роли информации в жизни общества, создание глобального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соответствующей сферы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3E476C" w:rsidRDefault="009D3E41" w:rsidP="00B57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B57F0C" w:rsidRPr="00077394" w:rsidRDefault="00B57F0C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ab/>
      </w:r>
      <w:r w:rsidRPr="00077394">
        <w:rPr>
          <w:rFonts w:ascii="Times New Roman" w:eastAsia="Calibri" w:hAnsi="Times New Roman" w:cs="Times New Roman"/>
          <w:sz w:val="28"/>
          <w:szCs w:val="28"/>
        </w:rPr>
        <w:tab/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57F0C">
        <w:rPr>
          <w:rFonts w:ascii="Times New Roman" w:eastAsia="Calibri" w:hAnsi="Times New Roman" w:cs="Times New Roman"/>
          <w:sz w:val="28"/>
          <w:szCs w:val="28"/>
        </w:rPr>
        <w:t xml:space="preserve"> и 1 мероприятием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B57F0C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077394" w:rsidRPr="00077394" w:rsidRDefault="00077394" w:rsidP="000773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  Конечным результатом реализации программы является: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07739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A945EF" w:rsidP="00387BA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387BA8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A945EF">
        <w:rPr>
          <w:rFonts w:ascii="Times New Roman" w:eastAsia="Calibri" w:hAnsi="Times New Roman" w:cs="Times New Roman"/>
          <w:sz w:val="28"/>
          <w:szCs w:val="28"/>
        </w:rPr>
        <w:t xml:space="preserve"> подпрограмм и 1 мероприятие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 возникновения и развития чрезвычайных ситуаций природного и техногенного характера.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E41" w:rsidRPr="00077394" w:rsidRDefault="009D3E41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387BA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</w:p>
    <w:p w:rsidR="00077394" w:rsidRPr="00077394" w:rsidRDefault="00077394" w:rsidP="00387BA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387BA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387B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07739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5EF" w:rsidRPr="00077394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077394" w:rsidRPr="00077394">
        <w:rPr>
          <w:sz w:val="28"/>
          <w:szCs w:val="28"/>
        </w:rPr>
        <w:t>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F174D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D400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Информацию об источниках финансирования подпрограмм, отдельных мероприятий муниципальной программы (средства районного бюджета, в </w:t>
      </w:r>
      <w:r w:rsidR="00077394" w:rsidRPr="00077394">
        <w:rPr>
          <w:rFonts w:ascii="Times New Roman" w:hAnsi="Times New Roman" w:cs="Times New Roman"/>
          <w:sz w:val="28"/>
          <w:szCs w:val="28"/>
        </w:rPr>
        <w:lastRenderedPageBreak/>
        <w:t>том числе средства, поступившие из бюджетов других уровней бюджетной системы, бюджетов внебюджетных фондов</w:t>
      </w:r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9223AE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Информацию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том числе по уровням бюджетной системы, представлено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D40066">
      <w:pPr>
        <w:spacing w:before="100" w:line="80" w:lineRule="atLeast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D40066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A2AB5" w:rsidRPr="00D40066" w:rsidRDefault="007A2AB5" w:rsidP="007A2AB5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3"/>
        <w:tblW w:w="14284" w:type="dxa"/>
        <w:tblLayout w:type="fixed"/>
        <w:tblLook w:val="04A0" w:firstRow="1" w:lastRow="0" w:firstColumn="1" w:lastColumn="0" w:noHBand="0" w:noVBand="1"/>
      </w:tblPr>
      <w:tblGrid>
        <w:gridCol w:w="540"/>
        <w:gridCol w:w="3315"/>
        <w:gridCol w:w="81"/>
        <w:gridCol w:w="1087"/>
        <w:gridCol w:w="47"/>
        <w:gridCol w:w="931"/>
        <w:gridCol w:w="61"/>
        <w:gridCol w:w="904"/>
        <w:gridCol w:w="88"/>
        <w:gridCol w:w="822"/>
        <w:gridCol w:w="29"/>
        <w:gridCol w:w="800"/>
        <w:gridCol w:w="50"/>
        <w:gridCol w:w="1037"/>
        <w:gridCol w:w="97"/>
        <w:gridCol w:w="1017"/>
        <w:gridCol w:w="117"/>
        <w:gridCol w:w="1038"/>
        <w:gridCol w:w="96"/>
        <w:gridCol w:w="1140"/>
        <w:gridCol w:w="42"/>
        <w:gridCol w:w="27"/>
        <w:gridCol w:w="14"/>
        <w:gridCol w:w="904"/>
      </w:tblGrid>
      <w:tr w:rsidR="007A2AB5" w:rsidRPr="00D40066" w:rsidTr="007A2AB5">
        <w:trPr>
          <w:trHeight w:val="23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Цели,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 предшествующий реализации муниципальной программы, 2015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22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AB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реализации муниципальной программы</w:t>
            </w:r>
          </w:p>
        </w:tc>
      </w:tr>
      <w:tr w:rsidR="007A2AB5" w:rsidRPr="00D40066" w:rsidTr="007A2AB5">
        <w:trPr>
          <w:trHeight w:val="69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140139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1-й год, 2016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 й год, 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текущий финансовый год,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год, 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планового периода, 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 год планового периода, 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7A2AB5" w:rsidRPr="00D40066" w:rsidTr="007A2AB5">
        <w:trPr>
          <w:trHeight w:val="95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140139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AD2035" w:rsidRDefault="007A2AB5" w:rsidP="007A2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одного и техногенного характера</w:t>
            </w:r>
          </w:p>
        </w:tc>
      </w:tr>
      <w:tr w:rsidR="007A2AB5" w:rsidRPr="00D40066" w:rsidTr="007A2AB5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.Повышение доступности транспортных услуг для населения.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105,19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128,88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F50385" w:rsidRDefault="007A2AB5" w:rsidP="007A2AB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A2AB5" w:rsidRPr="00D40066" w:rsidRDefault="007A2AB5" w:rsidP="007A2A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коммунальных услуг для граждан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D40066" w:rsidRDefault="007A2AB5" w:rsidP="007A2A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74C5B" w:rsidRDefault="007A2AB5" w:rsidP="007A2AB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92,0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4.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еждений Идринский района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 5.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озможности совершения террористических актов на территории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6</w:t>
            </w:r>
            <w:r w:rsidRPr="0010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учащ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ихся, задействованных в мероприятиях по профилактике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нарушений ПДД и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ДТП на территории </w:t>
            </w:r>
            <w:proofErr w:type="spellStart"/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Идринского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Pr="00105F38" w:rsidRDefault="007A2AB5" w:rsidP="007A2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105F38" w:rsidRDefault="007A2AB5" w:rsidP="007A2AB5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AB5" w:rsidRPr="00234D1A" w:rsidRDefault="007A2AB5" w:rsidP="007A2AB5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Default="007A2AB5" w:rsidP="007A2AB5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A2AB5" w:rsidRPr="00D40066" w:rsidTr="007A2AB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7: 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телекоммуникационных технологий, с</w:t>
            </w:r>
            <w:r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йона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Задача:8 </w:t>
            </w:r>
            <w:r w:rsidRPr="00B72BEC">
              <w:rPr>
                <w:rFonts w:ascii="Times New Roman" w:hAnsi="Times New Roman" w:cs="Times New Roman"/>
                <w:sz w:val="20"/>
                <w:szCs w:val="28"/>
              </w:rPr>
              <w:t>Совершенствование системы обращения с отходами производства и потребления, уменьшение негативного воздействия отходов на окруж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ающую среду и здоровье человека</w:t>
            </w:r>
          </w:p>
        </w:tc>
      </w:tr>
      <w:tr w:rsidR="007A2AB5" w:rsidRPr="00D40066" w:rsidTr="007A2AB5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D40066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AB5" w:rsidRPr="00105F38" w:rsidRDefault="007A2AB5" w:rsidP="007A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B5" w:rsidRPr="006A4670" w:rsidRDefault="007A2AB5" w:rsidP="007A2AB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7A2AB5" w:rsidRDefault="007A2AB5" w:rsidP="007A2AB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</w:p>
    <w:tbl>
      <w:tblPr>
        <w:tblW w:w="17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48"/>
        <w:gridCol w:w="4678"/>
        <w:gridCol w:w="1701"/>
        <w:gridCol w:w="6393"/>
      </w:tblGrid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№№  </w:t>
            </w:r>
            <w:proofErr w:type="gramStart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Вид нормативно-правового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нормативно-правового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76CCF" w:rsidRPr="00776CCF" w:rsidTr="00776CCF">
        <w:trPr>
          <w:trHeight w:val="331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776CCF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Цель муниципальной программы: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комфортных и безопасных условий для жизни населения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285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транспортных услуг для населения.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598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2. Содействие развитию транспортной системы Идринского района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порядке предоставления субсидий из бюджета Идринского рай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 организациям, выполняющим 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234D1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</w:t>
            </w:r>
            <w:r w:rsidR="00E85350"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планирования и экономического развития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</w:tr>
      <w:tr w:rsidR="0055294A" w:rsidRPr="00776CCF" w:rsidTr="00EA289E">
        <w:trPr>
          <w:trHeight w:val="190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776CCF" w:rsidTr="00EA289E">
        <w:trPr>
          <w:trHeight w:val="217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94A" w:rsidRPr="007D31C8" w:rsidRDefault="0055294A" w:rsidP="005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  <w:r w:rsidRPr="007D31C8">
              <w:rPr>
                <w:rFonts w:ascii="Times New Roman" w:hAnsi="Times New Roman"/>
                <w:sz w:val="20"/>
                <w:szCs w:val="20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  <w:p w:rsidR="0055294A" w:rsidRPr="007D31C8" w:rsidRDefault="0055294A" w:rsidP="0055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294A" w:rsidRPr="00776CCF" w:rsidTr="006A4670">
        <w:trPr>
          <w:trHeight w:val="1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5350" w:rsidRPr="00E85350" w:rsidRDefault="0055294A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</w:p>
          <w:p w:rsidR="0055294A" w:rsidRPr="007D31C8" w:rsidRDefault="00E85350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5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414CE1" w:rsidP="007D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73664" w:rsidRDefault="00F73664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BF6F50" w:rsidRPr="00BF6F50" w:rsidTr="00BF6F50">
        <w:trPr>
          <w:trHeight w:val="1244"/>
        </w:trPr>
        <w:tc>
          <w:tcPr>
            <w:tcW w:w="6150" w:type="dxa"/>
          </w:tcPr>
          <w:p w:rsidR="00BF6F50" w:rsidRPr="00BF6F50" w:rsidRDefault="00BF6F50" w:rsidP="00BF6F50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50" w:rsidRPr="00BF6F50" w:rsidRDefault="00BF6F50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Pr="0087615F" w:rsidRDefault="0076603B" w:rsidP="007660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15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 Идринского района «Обеспечение жизнедеятельности территории Идринского района» за счет </w:t>
      </w:r>
      <w:r w:rsidRPr="0087615F">
        <w:rPr>
          <w:rFonts w:ascii="Times New Roman" w:eastAsia="Calibri" w:hAnsi="Times New Roman" w:cs="Times New Roman"/>
          <w:sz w:val="24"/>
          <w:szCs w:val="24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6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52"/>
        <w:gridCol w:w="703"/>
        <w:gridCol w:w="37"/>
        <w:gridCol w:w="807"/>
        <w:gridCol w:w="1265"/>
        <w:gridCol w:w="563"/>
        <w:gridCol w:w="1345"/>
        <w:gridCol w:w="121"/>
        <w:gridCol w:w="1155"/>
        <w:gridCol w:w="1258"/>
        <w:gridCol w:w="1418"/>
        <w:gridCol w:w="970"/>
      </w:tblGrid>
      <w:tr w:rsidR="0076603B" w:rsidRPr="00BF6F50" w:rsidTr="00B35E92">
        <w:trPr>
          <w:trHeight w:val="3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76603B" w:rsidRPr="00A04489" w:rsidTr="00B35E92">
        <w:trPr>
          <w:gridAfter w:val="1"/>
          <w:wAfter w:w="970" w:type="dxa"/>
          <w:trHeight w:val="15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4E39DB" w:rsidRDefault="0076603B" w:rsidP="0076603B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76603B" w:rsidRPr="004E39DB" w:rsidRDefault="0076603B" w:rsidP="0076603B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4E39D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39 232 722,06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25 179 470,00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25 170 470,00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89 582 662,06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307DDA" w:rsidRDefault="00307DDA" w:rsidP="007660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39 179 448,06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D553F1" w:rsidRDefault="00307DDA" w:rsidP="007660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25 126 196,00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rPr>
                <w:rFonts w:ascii="Calibri" w:eastAsia="Times New Roman" w:hAnsi="Calibri" w:cs="Times New Roman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</w:rPr>
              <w:t>25 117 196,00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307DDA" w:rsidRDefault="00307DDA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89 422 840,06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142 122,00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2 455 368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>,40</w:t>
            </w: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1 918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6 284 322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>,40</w:t>
            </w: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1 235 198,09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1 226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3 688 466,09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60795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309 509,00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60795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309 509</w:t>
            </w:r>
            <w:r w:rsidR="00E1485C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E1485C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120 672,94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86945" w:rsidRDefault="00B86945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374 532,94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6945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6945" w:rsidRPr="00B7667F" w:rsidRDefault="00B86945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11 612,00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11 612,00</w:t>
            </w:r>
          </w:p>
        </w:tc>
      </w:tr>
      <w:tr w:rsidR="00B86945" w:rsidRPr="00A04489" w:rsidTr="00B35E92">
        <w:trPr>
          <w:gridAfter w:val="1"/>
          <w:wAfter w:w="970" w:type="dxa"/>
          <w:trHeight w:hRule="exact"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45" w:rsidRPr="00B7667F" w:rsidRDefault="00B86945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6945" w:rsidRPr="00B7667F" w:rsidRDefault="00B86945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3 915,00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45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45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3 915,00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61 550,00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372 316,66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1 113 204,66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0310010210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60795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93 475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60795" w:rsidRDefault="007E3A2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93 475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36 448,00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  <w:r w:rsidR="000678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113 114,00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78B0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8B0" w:rsidRPr="00B7667F" w:rsidRDefault="000678B0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3 507,00</w:t>
            </w:r>
          </w:p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678B0" w:rsidRPr="00A04489" w:rsidTr="00B35E92">
        <w:trPr>
          <w:gridAfter w:val="1"/>
          <w:wAfter w:w="970" w:type="dxa"/>
          <w:trHeight w:hRule="exact"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B0" w:rsidRPr="00B7667F" w:rsidRDefault="000678B0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8B0" w:rsidRPr="00B7667F" w:rsidRDefault="000678B0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1 182,00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127 065,17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380 137,17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4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121 117,54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0678B0" w:rsidRDefault="000678B0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130 117,54</w:t>
            </w: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9 481 229,00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25 867 087,00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B" w:rsidRPr="00004E3C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9 481 229,00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E1485C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25 867 087,00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11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E148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7143B" w:rsidRDefault="00E1485C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1 135 500,00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pPr>
              <w:jc w:val="center"/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5 064 300,00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BF6F50" w:rsidRDefault="0076603B" w:rsidP="00E148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E14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E1485C" w:rsidP="0076603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1 135 500,00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E1485C" w:rsidP="00766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5 064 300,00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11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E3A29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13 784 733</w:t>
            </w:r>
            <w:r w:rsidR="00B35E9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13 049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E3A29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39 884 513</w:t>
            </w:r>
            <w:r w:rsidR="00E1485C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A07933" w:rsidP="00A0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9 761 897,29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9 349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A07933" w:rsidP="00A0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28 461 769</w:t>
            </w:r>
            <w:r w:rsidR="00B35E9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A07933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0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3B" w:rsidRPr="00B7667F" w:rsidRDefault="00A07933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7 522</w:t>
            </w:r>
            <w:r w:rsidR="007660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E3A29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3B" w:rsidRPr="00B7667F" w:rsidRDefault="007E3A29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E92" w:rsidRPr="00A04489" w:rsidTr="00B35E92">
        <w:trPr>
          <w:gridAfter w:val="1"/>
          <w:wAfter w:w="970" w:type="dxa"/>
          <w:trHeight w:hRule="exact" w:val="4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109 063,00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E92" w:rsidRPr="00B7667F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E92" w:rsidRPr="00B7667F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109 063,00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35E92" w:rsidRDefault="00B35E92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3B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24 200,00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5546E5" w:rsidRDefault="00A07933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3 037 441</w:t>
            </w:r>
            <w:r w:rsidR="00B35E9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A07933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8 684 801,00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A07933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0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A07933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2 272</w:t>
            </w:r>
            <w:r w:rsidR="007660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E3A29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03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E92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right w:val="single" w:sz="4" w:space="0" w:color="auto"/>
            </w:tcBorders>
          </w:tcPr>
          <w:p w:rsidR="00B35E92" w:rsidRPr="00B7667F" w:rsidRDefault="00B35E92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Pr="00B7667F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32 937,00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E92" w:rsidRPr="00B35E92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E92" w:rsidRPr="00B35E92" w:rsidRDefault="00B35E92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E92" w:rsidRDefault="00B35E92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32 937,00</w:t>
            </w:r>
          </w:p>
        </w:tc>
      </w:tr>
      <w:tr w:rsidR="0076603B" w:rsidRPr="00AF64AE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35E92" w:rsidRDefault="00A07933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839 294,71</w:t>
            </w:r>
            <w:r w:rsidR="00B35E9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B7667F" w:rsidRDefault="00A07933" w:rsidP="00A0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2 561 948</w:t>
            </w:r>
            <w:r w:rsidR="00B35E9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9640A9">
            <w:pPr>
              <w:ind w:left="187" w:hanging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7  900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829E7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829E7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080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5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F6F50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B35E92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="0076603B"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F64AE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AF64AE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7E090B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71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7E090B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603B" w:rsidRPr="007E090B" w:rsidRDefault="00B35E92" w:rsidP="0030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76603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426DA4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417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76603B" w:rsidRPr="00BF6F50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F6F50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F41773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F64AE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</w:t>
            </w:r>
          </w:p>
        </w:tc>
      </w:tr>
      <w:tr w:rsidR="0076603B" w:rsidRPr="00A04489" w:rsidTr="00B35E92">
        <w:trPr>
          <w:gridAfter w:val="1"/>
          <w:wAfter w:w="970" w:type="dxa"/>
          <w:trHeight w:val="4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11 684 317,66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7143B" w:rsidRDefault="0076603B" w:rsidP="007660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714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3B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11 684 317,66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76450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11 684 3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B7667F">
              <w:rPr>
                <w:rFonts w:ascii="Times New Roman" w:eastAsia="Times New Roman" w:hAnsi="Times New Roman" w:cs="Times New Roman"/>
                <w:sz w:val="18"/>
                <w:szCs w:val="18"/>
              </w:rPr>
              <w:t>,66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</w:t>
            </w:r>
            <w:r w:rsidRPr="00D5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638 300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5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638 300</w:t>
            </w:r>
          </w:p>
        </w:tc>
      </w:tr>
      <w:tr w:rsidR="0076603B" w:rsidRPr="00A04489" w:rsidTr="00B35E92">
        <w:trPr>
          <w:gridAfter w:val="1"/>
          <w:wAfter w:w="970" w:type="dxa"/>
          <w:trHeight w:hRule="exact" w:val="47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B7667F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B7667F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D553F1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04489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A04489" w:rsidRPr="00BF6F50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F73664" w:rsidRPr="00BF6F50" w:rsidTr="005F63D1">
        <w:trPr>
          <w:trHeight w:val="982"/>
        </w:trPr>
        <w:tc>
          <w:tcPr>
            <w:tcW w:w="6516" w:type="dxa"/>
          </w:tcPr>
          <w:p w:rsidR="00F73664" w:rsidRPr="00BF6F50" w:rsidRDefault="00F73664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6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F73664" w:rsidRDefault="00F73664" w:rsidP="00A044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664" w:rsidRDefault="00F73664" w:rsidP="00A044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Default="0076603B" w:rsidP="00766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76603B" w:rsidRPr="00A04489" w:rsidRDefault="0076603B" w:rsidP="0076603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275"/>
        <w:gridCol w:w="1276"/>
        <w:gridCol w:w="1275"/>
      </w:tblGrid>
      <w:tr w:rsidR="0076603B" w:rsidRPr="00A04489" w:rsidTr="0076603B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76603B" w:rsidRPr="00A04489" w:rsidTr="0076603B">
        <w:trPr>
          <w:trHeight w:val="16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6603B" w:rsidRPr="00A04489" w:rsidTr="0076603B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39 232 722,06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25 179 470,00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25 170 470,00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9640A9" w:rsidP="00766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89 582 662,06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D553F1" w:rsidRDefault="0076603B" w:rsidP="007660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D77FA5" w:rsidP="0076603B">
            <w:pPr>
              <w:rPr>
                <w:rFonts w:ascii="Calibri" w:eastAsia="Times New Roman" w:hAnsi="Calibri" w:cs="Times New Roman"/>
                <w:b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25 107 790,40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D77FA5" w:rsidP="0076603B">
            <w:pPr>
              <w:rPr>
                <w:rFonts w:ascii="Calibri" w:eastAsia="Times New Roman" w:hAnsi="Calibri" w:cs="Times New Roman"/>
                <w:b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23 206 070,00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23 206 070,00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D77FA5" w:rsidP="007660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71 519 930,40</w:t>
            </w:r>
          </w:p>
        </w:tc>
      </w:tr>
      <w:tr w:rsidR="0076603B" w:rsidRPr="00625555" w:rsidTr="00D77FA5">
        <w:trPr>
          <w:trHeight w:hRule="exact" w:val="42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D77FA5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14 124 931,66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1 </w:t>
            </w: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973 400,00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1 964 400,00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9640A9" w:rsidP="00766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18 062 731,66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</w:t>
            </w: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2 455 368,4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6 284 322,4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1 911 168,40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1 909 977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562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5 731 122,40</w:t>
            </w:r>
          </w:p>
        </w:tc>
      </w:tr>
      <w:tr w:rsidR="0076603B" w:rsidRPr="00F70543" w:rsidTr="0076603B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544 200</w:t>
            </w:r>
            <w:r w:rsidR="00562953"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553 200</w:t>
            </w:r>
            <w:r w:rsidR="00562953"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76603B" w:rsidRPr="00A04489" w:rsidTr="0076603B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9 481 229,00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25 867 087,00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562953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9 481 229,00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8 192 929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25 867 087,00</w:t>
            </w: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1 135 500,00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1 964 400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5 064 300,00</w:t>
            </w:r>
          </w:p>
        </w:tc>
      </w:tr>
      <w:tr w:rsidR="0076603B" w:rsidRPr="00A04489" w:rsidTr="0076603B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1 135 500,00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1 964 400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1 964 400,00,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562953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5 064 300,00</w:t>
            </w: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AD51F9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13 784 733,00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39 884 513,00</w:t>
            </w:r>
          </w:p>
        </w:tc>
      </w:tr>
      <w:tr w:rsidR="0076603B" w:rsidRPr="00A04489" w:rsidTr="0076603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1F1088">
        <w:trPr>
          <w:trHeight w:hRule="exact" w:val="34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1F1088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13 642 733,00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13 049 890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1F1088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39 742 513,00</w:t>
            </w:r>
          </w:p>
        </w:tc>
      </w:tr>
      <w:tr w:rsidR="0076603B" w:rsidRPr="00A04489" w:rsidTr="001F1088">
        <w:trPr>
          <w:trHeight w:hRule="exact" w:val="37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142 000</w:t>
            </w:r>
            <w:r w:rsidR="001F1088"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1F1088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AD51F9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142 000</w:t>
            </w:r>
            <w:r w:rsidR="001F1088"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</w:tr>
      <w:tr w:rsidR="0076603B" w:rsidRPr="00A04489" w:rsidTr="0076603B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7  900,00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23 700,00</w:t>
            </w:r>
          </w:p>
        </w:tc>
      </w:tr>
      <w:tr w:rsidR="0076603B" w:rsidRPr="00A04489" w:rsidTr="001F1088">
        <w:trPr>
          <w:trHeight w:hRule="exact" w:val="34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7  900,00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sz w:val="16"/>
                <w:szCs w:val="16"/>
              </w:rPr>
              <w:t>7 900,00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23 700,00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3B" w:rsidRPr="00A04489" w:rsidRDefault="0076603B" w:rsidP="007660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3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04489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A0448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136 122,00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43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45 374</w:t>
            </w: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136 122,00</w:t>
            </w:r>
          </w:p>
        </w:tc>
      </w:tr>
      <w:tr w:rsidR="0076603B" w:rsidRPr="00A04489" w:rsidTr="0076603B">
        <w:trPr>
          <w:trHeight w:hRule="exact" w:val="4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B" w:rsidRPr="00675546" w:rsidRDefault="0076603B" w:rsidP="0076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F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11 684 317,66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11 684 317,66</w:t>
            </w: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F70543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03B" w:rsidRPr="009640A9" w:rsidRDefault="0076603B" w:rsidP="007660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11 686,00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11 672 631,66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03B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 с отходами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638 300,00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F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</w:tc>
      </w:tr>
      <w:tr w:rsidR="0076603B" w:rsidRPr="00A04489" w:rsidTr="0076603B">
        <w:trPr>
          <w:trHeight w:hRule="exact" w:val="44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3B" w:rsidRPr="00F70543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B" w:rsidRPr="00D553F1" w:rsidRDefault="0076603B" w:rsidP="0076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3F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3B" w:rsidRPr="009640A9" w:rsidRDefault="0076603B" w:rsidP="007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0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630 600,00</w:t>
            </w:r>
          </w:p>
        </w:tc>
      </w:tr>
    </w:tbl>
    <w:p w:rsidR="0076603B" w:rsidRPr="00BF6F50" w:rsidRDefault="0076603B" w:rsidP="00766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F7366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27"/>
        <w:gridCol w:w="5705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973D99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44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20D7">
              <w:rPr>
                <w:rFonts w:ascii="Times New Roman" w:eastAsia="Times New Roman" w:hAnsi="Times New Roman" w:cs="Times New Roman"/>
                <w:sz w:val="28"/>
                <w:szCs w:val="28"/>
              </w:rPr>
              <w:t> 284322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,40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</w:t>
            </w:r>
            <w:r w:rsidR="001F1088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5 731 122,40 руб., за счет краевого бюджета – </w:t>
            </w:r>
            <w:r w:rsidR="005120D7">
              <w:rPr>
                <w:rFonts w:ascii="Times New Roman" w:eastAsia="Times New Roman" w:hAnsi="Times New Roman" w:cs="Times New Roman"/>
                <w:sz w:val="28"/>
                <w:szCs w:val="28"/>
              </w:rPr>
              <w:t>553 200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руб.;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году- 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90AC4">
              <w:rPr>
                <w:rFonts w:ascii="Times New Roman" w:eastAsia="Times New Roman" w:hAnsi="Times New Roman" w:cs="Times New Roman"/>
                <w:sz w:val="28"/>
                <w:szCs w:val="28"/>
              </w:rPr>
              <w:t> 455 368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,40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1 911 168,40 руб., за счет краевого бюджета – </w:t>
            </w:r>
            <w:r w:rsidR="00890AC4">
              <w:rPr>
                <w:rFonts w:ascii="Times New Roman" w:eastAsia="Times New Roman" w:hAnsi="Times New Roman" w:cs="Times New Roman"/>
                <w:sz w:val="28"/>
                <w:szCs w:val="28"/>
              </w:rPr>
              <w:t>544 200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443A0D" w:rsidRPr="00286504" w:rsidRDefault="00443A0D" w:rsidP="001F10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–1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977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1 909 977,00 руб.,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краевого бюджета –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F7180E" w:rsidRPr="00286504" w:rsidRDefault="00443A0D" w:rsidP="00F718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2021году-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1 909 977,00 руб.</w:t>
            </w:r>
            <w:r w:rsidR="00F7180E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1 909 977,00 руб.,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краевого бюджета – 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180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443A0D" w:rsidRP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443A0D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оборудования и оргтехники (укомплектованность 30%);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расписания требованиям Положения (40%);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Создание  безопасных условий для жизни населения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Повышение качества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рассчитана на 2016-2030: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gram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весь период реализации подпрограммы и по планируемым мероприятиям на очередной финансовый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годпредоставляется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443A0D" w:rsidRPr="00443A0D" w:rsidRDefault="00443A0D" w:rsidP="00443A0D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973D99" w:rsidRPr="00443A0D" w:rsidRDefault="00973D99" w:rsidP="00973D99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973D99" w:rsidRPr="00443A0D" w:rsidRDefault="00973D99" w:rsidP="00973D99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A829E7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3D99" w:rsidRPr="00443A0D" w:rsidRDefault="00443A0D" w:rsidP="00973D99">
      <w:pPr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</w:p>
    <w:p w:rsid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3D99" w:rsidRPr="00973D99" w:rsidTr="003F72E2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973D99" w:rsidRPr="00973D99" w:rsidTr="003F72E2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3F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443A0D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района.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3F72E2" w:rsidP="003F72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3F72E2" w:rsidRPr="00973D99" w:rsidTr="003F72E2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443A0D" w:rsidRDefault="003F72E2" w:rsidP="003F72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граждан, их отработка</w:t>
            </w:r>
          </w:p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P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</w:p>
          <w:p w:rsidR="00443A0D" w:rsidRPr="00443A0D" w:rsidRDefault="00443A0D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142"/>
        <w:gridCol w:w="3207"/>
      </w:tblGrid>
      <w:tr w:rsidR="00443A0D" w:rsidRPr="00443A0D" w:rsidTr="004D1892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Цели, задачи, мероприятия 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(руб.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), годы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443A0D" w:rsidRPr="00443A0D" w:rsidTr="004D1892">
        <w:trPr>
          <w:trHeight w:val="771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D1892" w:rsidRDefault="003F72E2" w:rsidP="00443A0D">
            <w:pPr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43A0D"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4D189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3F72E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A0D" w:rsidRPr="00443A0D" w:rsidTr="004D1892">
        <w:trPr>
          <w:trHeight w:val="244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443A0D" w:rsidRPr="00443A0D" w:rsidTr="004D1892">
        <w:trPr>
          <w:trHeight w:val="737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качества 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D1892" w:rsidRPr="00443A0D" w:rsidTr="004D1892">
        <w:trPr>
          <w:trHeight w:val="11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F7180E" w:rsidRDefault="00F7180E" w:rsidP="00890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90AC4">
              <w:rPr>
                <w:rFonts w:ascii="Times New Roman" w:eastAsia="Times New Roman" w:hAnsi="Times New Roman" w:cs="Times New Roman"/>
                <w:sz w:val="20"/>
                <w:szCs w:val="20"/>
              </w:rPr>
              <w:t> 455 368</w:t>
            </w: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F7180E" w:rsidRDefault="00F7180E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1 918 977,00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F7180E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F7180E" w:rsidRDefault="00F7180E" w:rsidP="00890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90AC4">
              <w:rPr>
                <w:rFonts w:ascii="Times New Roman" w:eastAsia="Times New Roman" w:hAnsi="Times New Roman" w:cs="Times New Roman"/>
                <w:sz w:val="20"/>
                <w:szCs w:val="20"/>
              </w:rPr>
              <w:t> 284 322</w:t>
            </w:r>
            <w:r w:rsidRP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892" w:rsidRPr="00F7180E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количества обращений граждан до 750 к 2030 г</w:t>
            </w:r>
          </w:p>
        </w:tc>
      </w:tr>
      <w:tr w:rsidR="003F72E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2E2" w:rsidRPr="00286504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2E2" w:rsidRPr="00286504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189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1 235 198,09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1 226 634,00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1 226 634,00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1F2B9B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3 688 466,09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val="597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71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61 550,00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30" w:rsidRPr="00443A0D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6440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372 316,66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370 444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370 444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1 113 204,66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30" w:rsidRPr="00443A0D" w:rsidRDefault="00644030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127 065,17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380 137,17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890AC4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309 509</w:t>
            </w:r>
            <w:r w:rsidR="0064403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890AC4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309 509</w:t>
            </w:r>
            <w:r w:rsidR="0064403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890AC4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93 475</w:t>
            </w:r>
            <w:r w:rsidR="0064403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890AC4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93 475,00</w:t>
            </w:r>
          </w:p>
          <w:p w:rsidR="00890AC4" w:rsidRDefault="00890AC4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11 612,00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11 612,00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0310010230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3 507,00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3 915,00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0310010380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120 672,94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126 930,00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374 532,94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F718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36 448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113 114,00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121 117,54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F7180E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F7180E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130 117,54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4030" w:rsidRPr="00443A0D" w:rsidTr="00644030">
        <w:trPr>
          <w:trHeight w:hRule="exact" w:val="284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F7180E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443A0D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30" w:rsidRPr="00286504" w:rsidRDefault="00644030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Pr="00286504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30" w:rsidRDefault="00644030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30" w:rsidRPr="00443A0D" w:rsidRDefault="00644030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A829E7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53"/>
        <w:gridCol w:w="4278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A817CC">
        <w:trPr>
          <w:trHeight w:val="2344"/>
        </w:trPr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25 867 087,00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бюджета, в том числе: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9 481 229,00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8 192 929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7E1CE8" w:rsidRPr="00A817CC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2021 году - 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2B9B">
              <w:rPr>
                <w:rFonts w:ascii="Times New Roman" w:eastAsia="Times New Roman" w:hAnsi="Times New Roman" w:cs="Times New Roman"/>
                <w:sz w:val="28"/>
                <w:szCs w:val="28"/>
              </w:rPr>
              <w:t>929,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="008E2DEA" w:rsidRPr="00A817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334E8C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Default="007E1CE8" w:rsidP="00334E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34E8C" w:rsidRPr="007E1CE8" w:rsidRDefault="00334E8C" w:rsidP="0033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proofErr w:type="gram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,д</w:t>
      </w:r>
      <w:proofErr w:type="gram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7E1CE8" w:rsidRPr="007E1CE8" w:rsidRDefault="007E1CE8" w:rsidP="007E1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>граммы - 2016–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- Объем субсидий на 1 пассажира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2.3.Механизм р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постановление администрации района  от 18.03.16 № 86-п «Об утверждении Положения о порядке предоставления субсидий из бюджета Идринского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r w:rsidRPr="007E1CE8">
        <w:rPr>
          <w:rFonts w:ascii="Times New Roman" w:eastAsia="Times New Roman" w:hAnsi="Times New Roman" w:cs="Times New Roman"/>
          <w:sz w:val="28"/>
        </w:rPr>
        <w:lastRenderedPageBreak/>
        <w:t>Идринском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2.4.Управление подпрограммой и контроль за ходом ее выполнения</w:t>
      </w:r>
    </w:p>
    <w:p w:rsidR="007D31C8" w:rsidRPr="007E1CE8" w:rsidRDefault="007D31C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2.5.Оценка социально-экономической эффективности 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D31C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  <w:r w:rsidR="007D31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7D31C8" w:rsidRPr="007E1CE8" w:rsidRDefault="007D31C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2.7. Обоснование финансовых, материальных и трудовых затрат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EA2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транспортной системы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жизнедеятельности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3D99" w:rsidTr="00EA289E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7E1CE8" w:rsidRDefault="007D31C8" w:rsidP="007D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доступности транспортных услуг для населения</w:t>
            </w:r>
          </w:p>
          <w:p w:rsidR="007D31C8" w:rsidRPr="00D43B8A" w:rsidRDefault="007D31C8" w:rsidP="007D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Обеспечение пот</w:t>
            </w:r>
            <w:r w:rsidRPr="00D43B8A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ребности населения в перевозках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128,88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193" w:rsidRPr="007E1CE8" w:rsidRDefault="00994193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подпрограмме «Содействие развитию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транспортной системы Идринского района»</w:t>
      </w:r>
    </w:p>
    <w:p w:rsidR="007E1CE8" w:rsidRPr="007E1CE8" w:rsidRDefault="007E1CE8" w:rsidP="006D5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реализуемойв рамках муниципальной программы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района»</w:t>
      </w:r>
    </w:p>
    <w:p w:rsidR="007E1CE8" w:rsidRPr="007E1CE8" w:rsidRDefault="007E1CE8" w:rsidP="007E1CE8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E1CE8" w:rsidRPr="007E1CE8" w:rsidRDefault="007E1CE8" w:rsidP="007E1CE8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440"/>
        <w:gridCol w:w="1275"/>
        <w:gridCol w:w="1134"/>
        <w:gridCol w:w="1418"/>
        <w:gridCol w:w="1134"/>
      </w:tblGrid>
      <w:tr w:rsidR="007E1CE8" w:rsidRPr="007E1CE8" w:rsidTr="001F2B9B">
        <w:trPr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Расходы 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1CE8" w:rsidRPr="007E1CE8" w:rsidTr="001F2B9B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7E1CE8" w:rsidP="007E1CE8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201</w:t>
            </w:r>
            <w:r w:rsidR="00D43B8A" w:rsidRPr="008E2DEA">
              <w:rPr>
                <w:rFonts w:ascii="Times New Roman" w:eastAsia="Times New Roman" w:hAnsi="Times New Roman" w:cs="Times New Roman"/>
              </w:rPr>
              <w:t>9</w:t>
            </w:r>
            <w:r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2020</w:t>
            </w:r>
            <w:r w:rsidR="007E1CE8"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7E1CE8" w:rsidRPr="008E2DE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1CE8" w:rsidRPr="007E1CE8" w:rsidTr="001F2B9B">
        <w:trPr>
          <w:trHeight w:hRule="exact" w:val="284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Цель: повышение доступности транспортных услуг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1F2B9B">
        <w:trPr>
          <w:trHeight w:hRule="exact" w:val="284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Задача 1.Обеспечение потребности населения в перевозках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1F2B9B">
        <w:trPr>
          <w:trHeight w:hRule="exact" w:val="19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F41773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1F2B9B" w:rsidRDefault="001F2B9B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9 481 229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1F2B9B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25 867 087,00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Увеличение доступности транспортных услуг</w:t>
            </w:r>
          </w:p>
        </w:tc>
      </w:tr>
      <w:tr w:rsidR="007E1CE8" w:rsidRPr="007E1CE8" w:rsidTr="001F2B9B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1F2B9B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1F2B9B">
        <w:trPr>
          <w:trHeight w:hRule="exact" w:val="5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1F2B9B" w:rsidRDefault="001F2B9B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9 481 229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1F2B9B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25 867 087,00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EA28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F203BA" w:rsidRPr="00F203BA" w:rsidTr="00F203BA">
        <w:tc>
          <w:tcPr>
            <w:tcW w:w="3936" w:type="dxa"/>
          </w:tcPr>
          <w:p w:rsidR="00F203BA" w:rsidRPr="00D43B8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D43B8A" w:rsidRPr="00F203BA" w:rsidTr="00F203BA">
        <w:tc>
          <w:tcPr>
            <w:tcW w:w="3936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528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F203B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rPr>
          <w:trHeight w:val="2351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F203BA" w:rsidRPr="00F203BA" w:rsidRDefault="00F203BA" w:rsidP="0099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приведены в приложении 1 кпод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F203BA" w:rsidRPr="00F203BA" w:rsidTr="00F203BA">
        <w:trPr>
          <w:trHeight w:val="415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F2B9B">
              <w:rPr>
                <w:rFonts w:ascii="Times New Roman" w:hAnsi="Times New Roman"/>
                <w:sz w:val="28"/>
                <w:szCs w:val="28"/>
              </w:rPr>
              <w:t>5 064 300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9272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9272D">
              <w:rPr>
                <w:rFonts w:ascii="Times New Roman" w:hAnsi="Times New Roman"/>
                <w:sz w:val="28"/>
                <w:szCs w:val="28"/>
              </w:rPr>
              <w:t>аевого бюджета в том числе: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</w:t>
            </w:r>
            <w:r w:rsidR="001F2B9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F2B9B">
              <w:rPr>
                <w:rFonts w:ascii="Times New Roman" w:hAnsi="Times New Roman"/>
                <w:sz w:val="28"/>
                <w:szCs w:val="28"/>
              </w:rPr>
              <w:t>135 5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00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  <w:p w:rsidR="00D43B8A" w:rsidRPr="00A9272D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2021 году -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8D6B12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2.1.Постановка </w:t>
      </w:r>
      <w:r w:rsidR="00F203BA" w:rsidRPr="00F203BA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эксплуатацией многоквартирного жилого фонда. В обслуживании управляющей компании 18 многоквартирных жилых домов. Обе организации занимаются сбором жилищно-коммунальных платежей с населения за предоставленные услуги.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F203BA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47 % имеющихся водопроводных сетей;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F203B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F203BA" w:rsidRDefault="00F203BA" w:rsidP="00F20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Тепловой э</w:t>
      </w:r>
      <w:r w:rsidR="00E85350">
        <w:rPr>
          <w:rFonts w:ascii="Times New Roman" w:hAnsi="Times New Roman"/>
          <w:sz w:val="28"/>
          <w:szCs w:val="28"/>
        </w:rPr>
        <w:t>нергии за 2017</w:t>
      </w:r>
      <w:r w:rsidRPr="00F203BA">
        <w:rPr>
          <w:rFonts w:ascii="Times New Roman" w:hAnsi="Times New Roman"/>
          <w:sz w:val="28"/>
          <w:szCs w:val="28"/>
        </w:rPr>
        <w:t xml:space="preserve"> год отпущено 7,5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2017 года равна 4,3 км, в том числе нуждающиеся в замене 2,12 км.</w:t>
      </w:r>
    </w:p>
    <w:p w:rsidR="00F203BA" w:rsidRPr="00F203BA" w:rsidRDefault="00F203BA" w:rsidP="00F203B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Водоснабжение Идринского района осуществляется от 18 водопроводных сооружений. Мощность водопроводов составляет 4,73 тыс. м³ воды в сутки. Объём отпуска воды за 2017 год всем потребителям составил 272,04 тыс.м. куб., в том числе населению 241,04 тыс. м. куб. За 2017 год зарегистрировано 49 аварий в системах водоснабжения, в том числе на водопроводных сетях 32.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многоквартирных домов района коллективными (общедомовыми) приборами учета составляет: по тепловой энергии – 27%, по электроэнергии – 94 %, по холодной воде – 88%;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33,3%, по электроэнергии – 100%.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Цель: Обеспечение доступности предоставляемых коммунальных услуг для граждан.</w:t>
      </w:r>
    </w:p>
    <w:p w:rsidR="00F203BA" w:rsidRP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8D6B12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 предс</w:t>
      </w:r>
      <w:r w:rsidR="00994193">
        <w:rPr>
          <w:rFonts w:ascii="Times New Roman" w:hAnsi="Times New Roman"/>
          <w:sz w:val="28"/>
          <w:szCs w:val="28"/>
        </w:rPr>
        <w:t>тавлен в приложении 1 к подпрограмме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8D6B12" w:rsidRPr="00F203BA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2.3.Механизм реализации подпрограммы</w:t>
      </w:r>
    </w:p>
    <w:p w:rsidR="008D6B12" w:rsidRPr="00F203BA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left="375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Отдел по вопро</w:t>
      </w:r>
      <w:r w:rsidR="009223AE">
        <w:rPr>
          <w:rFonts w:ascii="Times New Roman" w:hAnsi="Times New Roman"/>
          <w:sz w:val="28"/>
          <w:szCs w:val="28"/>
        </w:rPr>
        <w:t xml:space="preserve">сам строительства, архитектуры и </w:t>
      </w:r>
      <w:proofErr w:type="spellStart"/>
      <w:r w:rsidR="009223AE">
        <w:rPr>
          <w:rFonts w:ascii="Times New Roman" w:hAnsi="Times New Roman"/>
          <w:sz w:val="28"/>
          <w:szCs w:val="28"/>
        </w:rPr>
        <w:t>жилищно</w:t>
      </w:r>
      <w:r w:rsidRPr="00F203BA">
        <w:rPr>
          <w:rFonts w:ascii="Times New Roman" w:hAnsi="Times New Roman"/>
          <w:sz w:val="28"/>
          <w:szCs w:val="28"/>
        </w:rPr>
        <w:t>коммунального</w:t>
      </w:r>
      <w:proofErr w:type="spellEnd"/>
      <w:r w:rsidRPr="00F203BA">
        <w:rPr>
          <w:rFonts w:ascii="Times New Roman" w:hAnsi="Times New Roman"/>
          <w:sz w:val="28"/>
          <w:szCs w:val="28"/>
        </w:rPr>
        <w:t xml:space="preserve">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03BA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F203BA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Красноярского края от 14.02.2013 </w:t>
      </w:r>
      <w:r w:rsidRPr="00F203BA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F203BA">
        <w:rPr>
          <w:rFonts w:ascii="Times New Roman" w:hAnsi="Times New Roman"/>
          <w:sz w:val="28"/>
          <w:szCs w:val="28"/>
        </w:rPr>
        <w:t>района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8D6B12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8D6B12" w:rsidRPr="008D6B12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F203BA" w:rsidRDefault="00F203BA" w:rsidP="00F2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BA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F203BA">
        <w:rPr>
          <w:rFonts w:ascii="Times New Roman" w:hAnsi="Times New Roman"/>
          <w:sz w:val="28"/>
          <w:szCs w:val="28"/>
        </w:rPr>
        <w:t>за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2.6 Мероприятия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 приведены в</w:t>
      </w:r>
      <w:r w:rsidR="00994193">
        <w:rPr>
          <w:rFonts w:ascii="Times New Roman" w:hAnsi="Times New Roman"/>
          <w:sz w:val="28"/>
          <w:szCs w:val="28"/>
        </w:rPr>
        <w:t xml:space="preserve"> приложении №1 к  подпрограмме</w:t>
      </w:r>
      <w:r w:rsidRPr="00F203BA">
        <w:rPr>
          <w:rFonts w:ascii="Times New Roman" w:hAnsi="Times New Roman"/>
          <w:sz w:val="28"/>
          <w:szCs w:val="28"/>
        </w:rPr>
        <w:t>.</w:t>
      </w:r>
    </w:p>
    <w:p w:rsidR="00F203BA" w:rsidRPr="00F203BA" w:rsidRDefault="00F203BA" w:rsidP="00F2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973D99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F203BA" w:rsidRPr="00F203BA">
        <w:rPr>
          <w:rFonts w:ascii="Times New Roman" w:eastAsia="Times New Roman" w:hAnsi="Times New Roman" w:cs="Times New Roman"/>
          <w:sz w:val="28"/>
          <w:szCs w:val="28"/>
        </w:rPr>
        <w:t>. Обоснование финансовых, материальных и трудовых затрат</w:t>
      </w:r>
    </w:p>
    <w:p w:rsidR="00F203BA" w:rsidRPr="00F203BA" w:rsidRDefault="00F203BA" w:rsidP="00F203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F203B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F203BA">
        <w:rPr>
          <w:rFonts w:ascii="Times New Roman" w:eastAsia="Times New Roman" w:hAnsi="Times New Roman" w:cs="Times New Roman"/>
          <w:sz w:val="28"/>
          <w:szCs w:val="28"/>
        </w:rPr>
        <w:t>аевого бюдже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та представлена в приложении № 2</w:t>
      </w:r>
      <w:r w:rsidRPr="00F203BA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F2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3B8A" w:rsidRDefault="00D43B8A" w:rsidP="0015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3B8A" w:rsidRPr="00D43B8A" w:rsidRDefault="00994193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 подпрограмме </w:t>
      </w:r>
      <w:r w:rsidR="00D43B8A" w:rsidRPr="00D43B8A">
        <w:rPr>
          <w:rFonts w:ascii="Times New Roman" w:hAnsi="Times New Roman" w:cs="Times New Roman"/>
          <w:sz w:val="28"/>
          <w:szCs w:val="24"/>
        </w:rPr>
        <w:t xml:space="preserve"> «Содействие развитию 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Идринского района» 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D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D43B8A" w:rsidRPr="00D43B8A" w:rsidTr="00EA28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43B8A" w:rsidRPr="00D43B8A" w:rsidTr="00EA28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43B8A" w:rsidRPr="00D43B8A" w:rsidTr="0044529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B8A" w:rsidRPr="00D43B8A" w:rsidTr="0044529E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44529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доступности предоставляемых коммунальных услуг для граждан</w:t>
            </w:r>
          </w:p>
        </w:tc>
      </w:tr>
      <w:tr w:rsidR="00D43B8A" w:rsidRPr="00D43B8A" w:rsidTr="00EA28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9E" w:rsidRDefault="0044529E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1529AC" w:rsidRPr="00D43B8A" w:rsidRDefault="001529AC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8D6B12" w:rsidRPr="001529AC" w:rsidRDefault="00994193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43B8A" w:rsidRPr="001529AC" w:rsidRDefault="00D43B8A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к подпрограмме «Содействие развитию </w:t>
      </w:r>
    </w:p>
    <w:p w:rsidR="00D43B8A" w:rsidRPr="001529AC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1529A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50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54"/>
        <w:gridCol w:w="869"/>
        <w:gridCol w:w="519"/>
        <w:gridCol w:w="634"/>
        <w:gridCol w:w="1257"/>
        <w:gridCol w:w="567"/>
        <w:gridCol w:w="1414"/>
        <w:gridCol w:w="1822"/>
        <w:gridCol w:w="1559"/>
        <w:gridCol w:w="1458"/>
        <w:gridCol w:w="2835"/>
      </w:tblGrid>
      <w:tr w:rsidR="00D43B8A" w:rsidRPr="00D43B8A" w:rsidTr="00F4177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3B8A" w:rsidRPr="00D43B8A" w:rsidTr="00F417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Итого 2019-2021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A9272D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доступности предоставляемых коммунальных услуг для граждан</w:t>
            </w:r>
          </w:p>
        </w:tc>
      </w:tr>
      <w:tr w:rsidR="00D43B8A" w:rsidRPr="00D43B8A" w:rsidTr="00F41773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5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5C6E01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5C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</w:t>
            </w:r>
            <w:r w:rsidR="005C6E01">
              <w:rPr>
                <w:rFonts w:ascii="Times New Roman" w:hAnsi="Times New Roman"/>
              </w:rPr>
              <w:t> 135 500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5 064 300,00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A9272D">
              <w:rPr>
                <w:rFonts w:ascii="Times New Roman" w:hAnsi="Times New Roman"/>
                <w:sz w:val="24"/>
                <w:szCs w:val="24"/>
              </w:rPr>
              <w:t>начисленных платежей до 87,5 % в 2021 году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77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7747B8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1 135 500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5C6E01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5 064 300,00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1529AC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№7</w:t>
      </w: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4. «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8D6B12" w:rsidRPr="00C81FEF" w:rsidTr="00EA289E">
        <w:trPr>
          <w:trHeight w:val="737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8D6B12" w:rsidRPr="00C81FEF" w:rsidTr="00EA289E">
        <w:trPr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B12" w:rsidRPr="00C81FEF" w:rsidTr="00EA289E">
        <w:trPr>
          <w:trHeight w:val="135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8D6B12" w:rsidRPr="00C81FEF" w:rsidTr="00EA289E">
        <w:trPr>
          <w:trHeight w:val="50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8D6B12" w:rsidRPr="00C81FEF" w:rsidTr="00EA289E">
        <w:trPr>
          <w:trHeight w:val="595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D6B12" w:rsidRPr="00C81FEF" w:rsidTr="00EA289E">
        <w:trPr>
          <w:trHeight w:val="590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8D6B12" w:rsidRPr="00C81FEF" w:rsidTr="00EA289E">
        <w:trPr>
          <w:trHeight w:val="225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8D6B12" w:rsidRPr="00C81FEF" w:rsidTr="00EA289E">
        <w:trPr>
          <w:trHeight w:val="28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8D6B12" w:rsidRPr="00C81FEF" w:rsidTr="00EA289E">
        <w:trPr>
          <w:trHeight w:val="69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8D6B12" w:rsidRPr="00C81FEF" w:rsidTr="00EA289E">
        <w:trPr>
          <w:trHeight w:val="2129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1F1088" w:rsidRPr="00C81FEF" w:rsidRDefault="008D6B12" w:rsidP="001F108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5120D7">
              <w:rPr>
                <w:rFonts w:ascii="Times New Roman" w:eastAsia="Times New Roman" w:hAnsi="Times New Roman" w:cs="Times New Roman"/>
                <w:sz w:val="28"/>
                <w:szCs w:val="28"/>
              </w:rPr>
              <w:t> 884 513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</w:t>
            </w:r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39 742 513,00 руб.,</w:t>
            </w:r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1F108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120D7">
              <w:rPr>
                <w:rFonts w:ascii="Times New Roman" w:eastAsia="Times New Roman" w:hAnsi="Times New Roman" w:cs="Times New Roman"/>
                <w:sz w:val="28"/>
                <w:szCs w:val="28"/>
              </w:rPr>
              <w:t>142 000</w:t>
            </w:r>
            <w:r w:rsidR="001F108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 </w:t>
            </w:r>
            <w:r w:rsidR="008D29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90AC4">
              <w:rPr>
                <w:rFonts w:ascii="Times New Roman" w:eastAsia="Times New Roman" w:hAnsi="Times New Roman" w:cs="Times New Roman"/>
                <w:sz w:val="28"/>
                <w:szCs w:val="28"/>
              </w:rPr>
              <w:t> 784 733</w:t>
            </w:r>
            <w:r w:rsidR="008D298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13 642 733,00 руб.,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890AC4">
              <w:rPr>
                <w:rFonts w:ascii="Times New Roman" w:eastAsia="Times New Roman" w:hAnsi="Times New Roman" w:cs="Times New Roman"/>
                <w:sz w:val="28"/>
                <w:szCs w:val="28"/>
              </w:rPr>
              <w:t>142 000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:rsidR="008D6B12" w:rsidRPr="00C81FEF" w:rsidRDefault="008D6B12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049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890.00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13 049 890,00 руб., 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00,00 руб.;</w:t>
            </w:r>
          </w:p>
          <w:p w:rsidR="00A27784" w:rsidRPr="00C81FEF" w:rsidRDefault="00A27784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13 049 890,00руб.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13 049 890,00 руб.,</w:t>
            </w:r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="007747B8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</w:t>
            </w:r>
            <w:proofErr w:type="gramEnd"/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0,00 руб.</w:t>
            </w:r>
          </w:p>
        </w:tc>
      </w:tr>
      <w:tr w:rsidR="008D6B12" w:rsidRPr="00C81FEF" w:rsidTr="00EA289E">
        <w:trPr>
          <w:trHeight w:val="1963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за реализацией подпрограммы осуществляет главный распорядитель бюджетных средств.</w:t>
            </w:r>
          </w:p>
        </w:tc>
      </w:tr>
    </w:tbl>
    <w:p w:rsidR="008D6B12" w:rsidRPr="00C81FEF" w:rsidRDefault="008D6B12" w:rsidP="008D6B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C81FEF">
        <w:rPr>
          <w:rFonts w:ascii="Times New Roman" w:eastAsia="Times New Roman" w:hAnsi="Times New Roman" w:cs="Times New Roman"/>
        </w:rPr>
        <w:tab/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 xml:space="preserve">Штатная численность учреждения 34 человек. 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C81FEF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8D6B12" w:rsidRPr="00C81FEF" w:rsidRDefault="008D6B12" w:rsidP="008D6B1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Идринского района, передавших функций по ведению бухгалтерского, бюджетного и налогового учета.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 без разбивки на этапы.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принятия мер по выполнению показателей непосредственных и конечных результатов;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6. Экономический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81FEF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Уставы учреждений;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12. Последовательность действий при выполнении программного мероприятия «Расходы на обеспечение деятельности (оказание услуг)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организаций (учреждений)» определяется руководителями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13. 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16. 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17. 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мероприятий. 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>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формам.  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2.5.Оценка социально-экономической эффективности.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контроля за соблюдением сметно-финансовой дисциплины муниципальных учреждений.</w:t>
      </w: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1 к данной подпрограммы.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D6B12" w:rsidRPr="00C81FEF" w:rsidSect="00EA289E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D43B8A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257359" w:rsidRPr="00D43B8A" w:rsidTr="00A829E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D43B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B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57359" w:rsidRPr="00D43B8A" w:rsidTr="00A829E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57359" w:rsidRPr="00D43B8A" w:rsidTr="00A829E7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D43B8A" w:rsidTr="00A829E7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994193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C81FEF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EA289E" w:rsidRPr="00707F9B" w:rsidTr="00EA289E">
        <w:trPr>
          <w:trHeight w:val="843"/>
        </w:trPr>
        <w:tc>
          <w:tcPr>
            <w:tcW w:w="7088" w:type="dxa"/>
          </w:tcPr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F9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682"/>
        <w:gridCol w:w="1682"/>
        <w:gridCol w:w="858"/>
        <w:gridCol w:w="865"/>
        <w:gridCol w:w="1347"/>
        <w:gridCol w:w="821"/>
        <w:gridCol w:w="1266"/>
        <w:gridCol w:w="1302"/>
        <w:gridCol w:w="1257"/>
        <w:gridCol w:w="1963"/>
        <w:gridCol w:w="1832"/>
      </w:tblGrid>
      <w:tr w:rsidR="00EA289E" w:rsidRPr="00707F9B" w:rsidTr="00EA289E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289E" w:rsidRPr="00707F9B" w:rsidTr="00EA289E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89E" w:rsidRPr="00707F9B" w:rsidTr="00EA289E">
        <w:trPr>
          <w:trHeight w:val="538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289E" w:rsidRPr="00707F9B" w:rsidTr="00EA289E">
        <w:trPr>
          <w:trHeight w:val="866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707F9B" w:rsidRPr="00707F9B" w:rsidTr="00EA289E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890AC4" w:rsidP="005C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13 784 733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890AC4" w:rsidP="0070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39 884 513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707F9B" w:rsidTr="00707F9B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4E48CC" w:rsidRDefault="006404A1" w:rsidP="005C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9 761 897,29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5C6E01" w:rsidRDefault="005C6E01" w:rsidP="004E48C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9 349 936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Default="00707F9B" w:rsidP="00707F9B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4E48CC" w:rsidRDefault="006404A1" w:rsidP="00640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28 461 769,29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43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4E48CC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24 200,00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3 037 441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8 684 801</w:t>
            </w:r>
            <w:r w:rsidR="004E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8D6B12" w:rsidTr="00707F9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4E48CC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839 294,71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4E48CC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2 561 948,71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8D6B12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D6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6404A1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5C6E01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7 522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7F9B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6404A1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5C6E01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2 272</w:t>
            </w:r>
            <w:r w:rsidR="005C6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6404A1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8D298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109 063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109 063,00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2980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980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980" w:rsidRPr="00707F9B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0340010380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2980" w:rsidRDefault="008D2980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32 937,00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80" w:rsidRPr="008D6B12" w:rsidRDefault="008D2980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EA289E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2"/>
        <w:gridCol w:w="4739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21EE" w:rsidRPr="00583C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      </w:r>
          </w:p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2016-202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529AC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747B8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рублей за счет средств районного бюджета, в том числе: 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году- 7 900,00  руб.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D21EE" w:rsidRPr="009D21EE" w:rsidRDefault="009D21EE" w:rsidP="009D21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индикаторы.</w:t>
      </w:r>
    </w:p>
    <w:p w:rsidR="009D21EE" w:rsidRPr="009D21EE" w:rsidRDefault="009D21EE" w:rsidP="009D21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9D21EE" w:rsidRPr="009D21EE" w:rsidRDefault="009D21EE" w:rsidP="009D21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2016-2030 годы:</w:t>
      </w:r>
    </w:p>
    <w:p w:rsidR="009D21EE" w:rsidRPr="009D21EE" w:rsidRDefault="009D21EE" w:rsidP="009D21E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Механизм реализации подпрограммы.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lastRenderedPageBreak/>
        <w:t>2.4. Управление подпрограммой и контроль за ходом ее выполнения.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9D21EE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9D21EE">
        <w:rPr>
          <w:rFonts w:ascii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9D21EE" w:rsidRDefault="009D21EE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9D21EE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</w:t>
      </w:r>
      <w:r w:rsidR="00994193">
        <w:rPr>
          <w:rFonts w:ascii="Times New Roman" w:hAnsi="Times New Roman" w:cs="Times New Roman"/>
          <w:sz w:val="28"/>
          <w:szCs w:val="28"/>
        </w:rPr>
        <w:t>отдел планирования и экономического развития</w:t>
      </w:r>
      <w:r w:rsidRPr="009D21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94193">
        <w:rPr>
          <w:rFonts w:ascii="Times New Roman" w:hAnsi="Times New Roman" w:cs="Times New Roman"/>
          <w:sz w:val="28"/>
          <w:szCs w:val="28"/>
        </w:rPr>
        <w:t>и Идринского района до 1 марта</w:t>
      </w:r>
      <w:r w:rsidRPr="009D21EE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социально-экономической эффективности.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9D21EE" w:rsidRPr="00121281" w:rsidRDefault="009D21EE" w:rsidP="00121281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подпрограммы.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F60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A45" w:rsidRPr="00994193" w:rsidRDefault="001B4A45" w:rsidP="001B4A45">
      <w:pPr>
        <w:jc w:val="right"/>
        <w:rPr>
          <w:rFonts w:ascii="Times New Roman" w:hAnsi="Times New Roman" w:cs="Times New Roman"/>
          <w:sz w:val="28"/>
          <w:szCs w:val="28"/>
        </w:rPr>
      </w:pPr>
      <w:r w:rsidRPr="009941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4193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 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99419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D21EE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9D21EE" w:rsidTr="00F6049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D21EE" w:rsidRPr="009D21EE" w:rsidTr="00F6049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D21E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9D21EE" w:rsidRPr="009D21EE" w:rsidTr="00C81FEF">
        <w:trPr>
          <w:trHeight w:val="10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1B4A45" w:rsidP="001B4A4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9D21EE"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подпрограммы: </w:t>
            </w:r>
            <w:r w:rsidRPr="009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льности, повышение бдительности;</w:t>
            </w:r>
            <w:r w:rsidRPr="009D2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583CDB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4A45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869"/>
        <w:gridCol w:w="709"/>
        <w:gridCol w:w="709"/>
        <w:gridCol w:w="1417"/>
        <w:gridCol w:w="711"/>
        <w:gridCol w:w="1418"/>
        <w:gridCol w:w="1134"/>
        <w:gridCol w:w="1417"/>
        <w:gridCol w:w="1701"/>
        <w:gridCol w:w="2835"/>
      </w:tblGrid>
      <w:tr w:rsidR="009D21EE" w:rsidRPr="009D21EE" w:rsidTr="00EB1A5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9D21EE" w:rsidTr="00EB1A5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C81FEF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(2019-2021)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  <w:r w:rsidRPr="00C81FE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</w:t>
            </w:r>
            <w:r w:rsidR="00583CDB" w:rsidRPr="00C81FEF">
              <w:rPr>
                <w:rFonts w:ascii="Times New Roman" w:hAnsi="Times New Roman" w:cs="Times New Roman"/>
                <w:sz w:val="24"/>
                <w:szCs w:val="24"/>
              </w:rPr>
              <w:t>актики терроризма и экстремизма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 </w:t>
            </w:r>
            <w:r w:rsidRPr="00C8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«круглых столов» с участием представителей религиозных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спорта и молодежной политики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proofErr w:type="spellStart"/>
            <w:proofErr w:type="gramStart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-послушного</w:t>
            </w:r>
            <w:proofErr w:type="gram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</w:t>
            </w:r>
            <w:r w:rsidR="009D21EE"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спортивно-развлекательных программ для старшеклассников «Молодой резерв», посвящённых борьбе с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1529AC">
          <w:pgSz w:w="16838" w:h="11906" w:orient="landscape" w:code="9"/>
          <w:pgMar w:top="851" w:right="1134" w:bottom="992" w:left="1134" w:header="709" w:footer="709" w:gutter="0"/>
          <w:cols w:space="708"/>
          <w:docGrid w:linePitch="360"/>
        </w:sect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Calibri" w:hAnsi="Times New Roman" w:cs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74"/>
        <w:gridCol w:w="5984"/>
      </w:tblGrid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территории Идринского района»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 администрации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детского дорожно-транспортного травматизма на территории Идринского района</w:t>
            </w:r>
          </w:p>
          <w:p w:rsidR="00831C6C" w:rsidRPr="00831C6C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31C6C" w:rsidRP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предупреждение опасного поведения детей дошкольного и школьного возраста, 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участников дорожного движения;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831C6C" w:rsidRPr="00831C6C" w:rsidRDefault="00831C6C" w:rsidP="00831C6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подпрограмме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2019-2030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31C6C" w:rsidRPr="00831C6C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136 122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</w:t>
            </w:r>
            <w:proofErr w:type="gramStart"/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</w:p>
          <w:p w:rsidR="00831C6C" w:rsidRPr="00831C6C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831C6C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Характеристика основных мероприятий муниципальной программы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50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Подготовка методических рекомендаций по обучению детей правилам безопасности дорожного движения;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831C6C" w:rsidRDefault="007F44FC" w:rsidP="00831C6C">
      <w:pPr>
        <w:widowControl w:val="0"/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 и проведение уроков правовых знаний в образовательных учреждениях;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34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Проведение лекций, семинаров и практических занятий с органами ГИБДД;</w:t>
      </w:r>
    </w:p>
    <w:p w:rsidR="00831C6C" w:rsidRPr="00831C6C" w:rsidRDefault="00831C6C" w:rsidP="00831C6C">
      <w:pPr>
        <w:widowControl w:val="0"/>
        <w:spacing w:after="0" w:line="240" w:lineRule="auto"/>
        <w:ind w:left="200" w:right="68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200" w:right="22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материалов о проведении в образовательных учреждениях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Задачи подпрограммы: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 про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C6C" w:rsidRPr="00831C6C" w:rsidRDefault="00831C6C" w:rsidP="00831C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2.3.Механизм реализации подпрограммы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включает в себя мероприятия, направленные на профилактику против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831C6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29AC" w:rsidRPr="00831C6C" w:rsidSect="001529AC">
          <w:pgSz w:w="11906" w:h="16838" w:code="9"/>
          <w:pgMar w:top="1134" w:right="992" w:bottom="1134" w:left="851" w:header="709" w:footer="709" w:gutter="0"/>
          <w:cols w:space="708"/>
          <w:docGrid w:linePitch="360"/>
        </w:sectPr>
      </w:pPr>
    </w:p>
    <w:p w:rsidR="00831C6C" w:rsidRPr="00831C6C" w:rsidRDefault="00A23278" w:rsidP="001529A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31C6C" w:rsidRPr="00831C6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23278" w:rsidRDefault="00A05CED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232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  подпрограмме </w:t>
      </w:r>
      <w:r w:rsidR="00831C6C"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7F44FC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831C6C" w:rsidRPr="00831C6C" w:rsidTr="00831C6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1F7D28" w:rsidRDefault="007F44FC" w:rsidP="0083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  <w:p w:rsidR="00831C6C" w:rsidRPr="00831C6C" w:rsidRDefault="00831C6C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61EDD">
            <w:pPr>
              <w:widowControl w:val="0"/>
              <w:spacing w:after="0" w:line="240" w:lineRule="auto"/>
              <w:ind w:left="120" w:right="60"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861EDD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line="240" w:lineRule="auto"/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1C6C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2C06FF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831C6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2C06FF" w:rsidRDefault="009D3E41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ихся, задействованных в мероприятиях по профилактике 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31C6C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2C06FF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831C6C" w:rsidTr="00861EDD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</w:t>
            </w:r>
            <w:proofErr w:type="spellStart"/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43766F" w:rsidRDefault="00861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31C6C" w:rsidRP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A05CED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</w:t>
      </w:r>
      <w:proofErr w:type="gramStart"/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 xml:space="preserve">инского района 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831C6C" w:rsidRPr="00831C6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 поведения участников дорожного движения на территории 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tbl>
      <w:tblPr>
        <w:tblW w:w="14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709"/>
        <w:gridCol w:w="1134"/>
        <w:gridCol w:w="1134"/>
        <w:gridCol w:w="685"/>
        <w:gridCol w:w="1440"/>
        <w:gridCol w:w="1275"/>
        <w:gridCol w:w="1134"/>
        <w:gridCol w:w="1134"/>
        <w:gridCol w:w="1686"/>
        <w:gridCol w:w="15"/>
      </w:tblGrid>
      <w:tr w:rsidR="00831C6C" w:rsidRPr="00831C6C" w:rsidTr="00FC09EB">
        <w:trPr>
          <w:gridAfter w:val="1"/>
          <w:wAfter w:w="15" w:type="dxa"/>
          <w:trHeight w:hRule="exact" w:val="2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C6C" w:rsidRPr="00831C6C" w:rsidRDefault="000F089E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Расходы (</w:t>
            </w:r>
            <w:r w:rsidR="00831C6C" w:rsidRPr="00831C6C">
              <w:rPr>
                <w:rFonts w:ascii="Times New Roman" w:eastAsia="Times New Roman" w:hAnsi="Times New Roman" w:cs="Times New Roman"/>
              </w:rPr>
              <w:t>руб.), годы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6C" w:rsidRPr="00831C6C" w:rsidRDefault="00831C6C" w:rsidP="00831C6C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1C6C" w:rsidRPr="00831C6C" w:rsidTr="00FC09EB">
        <w:trPr>
          <w:trHeight w:val="239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C6C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789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0255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</w:t>
            </w:r>
            <w:r w:rsidR="000F089E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857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0F089E" w:rsidP="000F08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законопослушного поведения участников дорожного движения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D3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количества учащихся, задействованных в мероприятиях по профилактике нарушенийПДД и ДТП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2021 году до 2017 чел.</w:t>
            </w:r>
          </w:p>
        </w:tc>
      </w:tr>
      <w:tr w:rsidR="00FC09EB" w:rsidRPr="00831C6C" w:rsidTr="00FC09EB">
        <w:trPr>
          <w:trHeight w:hRule="exact" w:val="10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EB" w:rsidRPr="00A05CED" w:rsidRDefault="00FC09E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EB" w:rsidRPr="009D3E41" w:rsidRDefault="00FC09E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7ABB" w:rsidRPr="00831C6C" w:rsidTr="00077ABB">
        <w:trPr>
          <w:trHeight w:hRule="exact" w:val="10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136 122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ABB" w:rsidRPr="009D3E41" w:rsidRDefault="00077AB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1C6C" w:rsidRPr="00831C6C" w:rsidRDefault="00831C6C" w:rsidP="00831C6C">
      <w:pPr>
        <w:rPr>
          <w:rFonts w:ascii="Calibri" w:eastAsia="Calibri" w:hAnsi="Calibri" w:cs="Times New Roman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C452E3" w:rsidRDefault="00C452E3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Sect="001529A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239D9" w:rsidRPr="003239D9" w:rsidRDefault="0002559F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1529AC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Arial"/>
          <w:sz w:val="28"/>
          <w:szCs w:val="28"/>
        </w:rPr>
        <w:t>10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к муниципальной программе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«Обеспечение жизнедеятельности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>территории Идринского района</w:t>
      </w: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</w:t>
      </w:r>
      <w:proofErr w:type="gramStart"/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2018 году составил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 7 420,62 тыс.рублей.</w:t>
      </w:r>
    </w:p>
    <w:p w:rsidR="003239D9" w:rsidRPr="003239D9" w:rsidRDefault="003239D9" w:rsidP="003239D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Перечень населенных пунктов, участвующих в мероприятии: </w:t>
      </w:r>
    </w:p>
    <w:tbl>
      <w:tblPr>
        <w:tblW w:w="9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260"/>
        <w:gridCol w:w="2552"/>
        <w:gridCol w:w="1551"/>
        <w:gridCol w:w="785"/>
        <w:gridCol w:w="850"/>
        <w:gridCol w:w="776"/>
      </w:tblGrid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на конец 2017 года составляет 2520 штук.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1529AC" w:rsidRDefault="001529AC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6603B" w:rsidRDefault="0076603B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4594" w:type="dxa"/>
        <w:tblInd w:w="5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</w:tblGrid>
      <w:tr w:rsidR="0076603B" w:rsidRPr="0076603B" w:rsidTr="0076603B">
        <w:trPr>
          <w:trHeight w:val="1260"/>
        </w:trPr>
        <w:tc>
          <w:tcPr>
            <w:tcW w:w="0" w:type="auto"/>
          </w:tcPr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603B" w:rsidRPr="0076603B" w:rsidRDefault="0076603B" w:rsidP="0076603B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№11                                                                                                                                     к муниципальной программы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76603B" w:rsidRPr="0076603B" w:rsidRDefault="0076603B" w:rsidP="0076603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603B" w:rsidRPr="00DD33C6" w:rsidRDefault="0076603B" w:rsidP="0076603B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Отдельные мероприятия: 2. Обращение с отходами </w:t>
      </w:r>
    </w:p>
    <w:p w:rsidR="0076603B" w:rsidRDefault="0076603B" w:rsidP="0076603B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3B" w:rsidRPr="00DD33C6" w:rsidRDefault="0076603B" w:rsidP="0076603B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76603B" w:rsidRPr="00DD33C6" w:rsidRDefault="0076603B" w:rsidP="0076603B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Задачи Программы: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76603B" w:rsidRPr="00DD33C6" w:rsidRDefault="0076603B" w:rsidP="0076603B">
      <w:pPr>
        <w:spacing w:after="0"/>
        <w:ind w:firstLine="708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76603B" w:rsidRPr="00DD33C6" w:rsidRDefault="0076603B" w:rsidP="00766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lastRenderedPageBreak/>
        <w:t>- ликвидация 60% несанкционированных свалок (за весь период программы);</w:t>
      </w:r>
    </w:p>
    <w:p w:rsidR="0076603B" w:rsidRPr="00DD33C6" w:rsidRDefault="0076603B" w:rsidP="00766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C6">
        <w:rPr>
          <w:rFonts w:ascii="Times New Roman" w:hAnsi="Times New Roman" w:cs="Times New Roman"/>
          <w:sz w:val="28"/>
          <w:szCs w:val="28"/>
        </w:rPr>
        <w:t>- ввод полигона ТБО в с. Идринском в эксплуатацию</w:t>
      </w:r>
      <w:proofErr w:type="gramEnd"/>
    </w:p>
    <w:p w:rsidR="0076603B" w:rsidRPr="00DD33C6" w:rsidRDefault="0076603B" w:rsidP="00766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03B" w:rsidRPr="008807AB" w:rsidRDefault="0076603B" w:rsidP="0076603B">
      <w:pPr>
        <w:pStyle w:val="ConsPlusNormal"/>
        <w:jc w:val="both"/>
        <w:rPr>
          <w:sz w:val="24"/>
          <w:szCs w:val="24"/>
        </w:rPr>
      </w:pPr>
    </w:p>
    <w:p w:rsidR="0076603B" w:rsidRDefault="0076603B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76603B" w:rsidSect="001529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6B12" w:rsidSect="001529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D7" w:rsidRDefault="005120D7" w:rsidP="00F73664">
      <w:pPr>
        <w:spacing w:after="0" w:line="240" w:lineRule="auto"/>
      </w:pPr>
      <w:r>
        <w:separator/>
      </w:r>
    </w:p>
  </w:endnote>
  <w:endnote w:type="continuationSeparator" w:id="0">
    <w:p w:rsidR="005120D7" w:rsidRDefault="005120D7" w:rsidP="00F7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D7" w:rsidRDefault="005120D7" w:rsidP="00F73664">
      <w:pPr>
        <w:spacing w:after="0" w:line="240" w:lineRule="auto"/>
      </w:pPr>
      <w:r>
        <w:separator/>
      </w:r>
    </w:p>
  </w:footnote>
  <w:footnote w:type="continuationSeparator" w:id="0">
    <w:p w:rsidR="005120D7" w:rsidRDefault="005120D7" w:rsidP="00F7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51D45A9"/>
    <w:multiLevelType w:val="hybridMultilevel"/>
    <w:tmpl w:val="837C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1E4"/>
    <w:rsid w:val="0002559F"/>
    <w:rsid w:val="00044AE1"/>
    <w:rsid w:val="000678B0"/>
    <w:rsid w:val="00077394"/>
    <w:rsid w:val="00077ABB"/>
    <w:rsid w:val="000B2657"/>
    <w:rsid w:val="000B71E4"/>
    <w:rsid w:val="000C223E"/>
    <w:rsid w:val="000C53B4"/>
    <w:rsid w:val="000F089E"/>
    <w:rsid w:val="00105F38"/>
    <w:rsid w:val="00107608"/>
    <w:rsid w:val="00121281"/>
    <w:rsid w:val="00140139"/>
    <w:rsid w:val="001529AC"/>
    <w:rsid w:val="00162888"/>
    <w:rsid w:val="001A0141"/>
    <w:rsid w:val="001A1EB1"/>
    <w:rsid w:val="001B4A45"/>
    <w:rsid w:val="001E7863"/>
    <w:rsid w:val="001F1088"/>
    <w:rsid w:val="001F2B9B"/>
    <w:rsid w:val="001F7D28"/>
    <w:rsid w:val="00234D1A"/>
    <w:rsid w:val="00257359"/>
    <w:rsid w:val="00286504"/>
    <w:rsid w:val="002873F8"/>
    <w:rsid w:val="002B5EFF"/>
    <w:rsid w:val="002C06FF"/>
    <w:rsid w:val="00307DDA"/>
    <w:rsid w:val="003239D9"/>
    <w:rsid w:val="00334E8C"/>
    <w:rsid w:val="003509ED"/>
    <w:rsid w:val="00373BCB"/>
    <w:rsid w:val="00387BA8"/>
    <w:rsid w:val="003C274E"/>
    <w:rsid w:val="003E476C"/>
    <w:rsid w:val="003E4885"/>
    <w:rsid w:val="003F72E2"/>
    <w:rsid w:val="00414CE1"/>
    <w:rsid w:val="00426DA4"/>
    <w:rsid w:val="00440704"/>
    <w:rsid w:val="00443A0D"/>
    <w:rsid w:val="0044529E"/>
    <w:rsid w:val="00453E22"/>
    <w:rsid w:val="00467EEC"/>
    <w:rsid w:val="00475413"/>
    <w:rsid w:val="004D1892"/>
    <w:rsid w:val="004E39DB"/>
    <w:rsid w:val="004E48CC"/>
    <w:rsid w:val="005120D7"/>
    <w:rsid w:val="0055294A"/>
    <w:rsid w:val="00562953"/>
    <w:rsid w:val="00566B01"/>
    <w:rsid w:val="00583CDB"/>
    <w:rsid w:val="005C259D"/>
    <w:rsid w:val="005C6E01"/>
    <w:rsid w:val="005F63D1"/>
    <w:rsid w:val="00604AF6"/>
    <w:rsid w:val="00610F8A"/>
    <w:rsid w:val="006265B2"/>
    <w:rsid w:val="00635EF0"/>
    <w:rsid w:val="006404A1"/>
    <w:rsid w:val="00644030"/>
    <w:rsid w:val="00674C5B"/>
    <w:rsid w:val="00675546"/>
    <w:rsid w:val="006A4670"/>
    <w:rsid w:val="006C550C"/>
    <w:rsid w:val="006D253E"/>
    <w:rsid w:val="006D55B0"/>
    <w:rsid w:val="00701765"/>
    <w:rsid w:val="00707F9B"/>
    <w:rsid w:val="0076603B"/>
    <w:rsid w:val="007747B8"/>
    <w:rsid w:val="00776CCF"/>
    <w:rsid w:val="007A2AB5"/>
    <w:rsid w:val="007D31C8"/>
    <w:rsid w:val="007E090B"/>
    <w:rsid w:val="007E1CE8"/>
    <w:rsid w:val="007E3A29"/>
    <w:rsid w:val="007F44FC"/>
    <w:rsid w:val="00831C6C"/>
    <w:rsid w:val="00837110"/>
    <w:rsid w:val="00861DA5"/>
    <w:rsid w:val="00861EDD"/>
    <w:rsid w:val="00890AC4"/>
    <w:rsid w:val="008D019D"/>
    <w:rsid w:val="008D2980"/>
    <w:rsid w:val="008D51FF"/>
    <w:rsid w:val="008D6B12"/>
    <w:rsid w:val="008E2DEA"/>
    <w:rsid w:val="008F04A7"/>
    <w:rsid w:val="009223AE"/>
    <w:rsid w:val="00947CA8"/>
    <w:rsid w:val="009540D9"/>
    <w:rsid w:val="009640A9"/>
    <w:rsid w:val="00973D99"/>
    <w:rsid w:val="00984FE8"/>
    <w:rsid w:val="00994193"/>
    <w:rsid w:val="009C66AD"/>
    <w:rsid w:val="009D21EE"/>
    <w:rsid w:val="009D3E41"/>
    <w:rsid w:val="00A04489"/>
    <w:rsid w:val="00A05CED"/>
    <w:rsid w:val="00A07933"/>
    <w:rsid w:val="00A23278"/>
    <w:rsid w:val="00A27784"/>
    <w:rsid w:val="00A6156C"/>
    <w:rsid w:val="00A817CC"/>
    <w:rsid w:val="00A829E7"/>
    <w:rsid w:val="00A9272D"/>
    <w:rsid w:val="00A945EF"/>
    <w:rsid w:val="00AC5B65"/>
    <w:rsid w:val="00AD2035"/>
    <w:rsid w:val="00AD51F9"/>
    <w:rsid w:val="00AF64AE"/>
    <w:rsid w:val="00B35E92"/>
    <w:rsid w:val="00B57F0C"/>
    <w:rsid w:val="00B7399B"/>
    <w:rsid w:val="00B86945"/>
    <w:rsid w:val="00BA635F"/>
    <w:rsid w:val="00BD1E70"/>
    <w:rsid w:val="00BD574E"/>
    <w:rsid w:val="00BF6F50"/>
    <w:rsid w:val="00C452E3"/>
    <w:rsid w:val="00C749FE"/>
    <w:rsid w:val="00C81FEF"/>
    <w:rsid w:val="00D40066"/>
    <w:rsid w:val="00D43B8A"/>
    <w:rsid w:val="00D77FA5"/>
    <w:rsid w:val="00DB0912"/>
    <w:rsid w:val="00DD3464"/>
    <w:rsid w:val="00DD770C"/>
    <w:rsid w:val="00E1485C"/>
    <w:rsid w:val="00E27808"/>
    <w:rsid w:val="00E51B15"/>
    <w:rsid w:val="00E85350"/>
    <w:rsid w:val="00EA289E"/>
    <w:rsid w:val="00EB1A58"/>
    <w:rsid w:val="00F174D8"/>
    <w:rsid w:val="00F203BA"/>
    <w:rsid w:val="00F41773"/>
    <w:rsid w:val="00F50385"/>
    <w:rsid w:val="00F53ED7"/>
    <w:rsid w:val="00F60499"/>
    <w:rsid w:val="00F63C42"/>
    <w:rsid w:val="00F7180E"/>
    <w:rsid w:val="00F73664"/>
    <w:rsid w:val="00FA5D3F"/>
    <w:rsid w:val="00FC09EB"/>
    <w:rsid w:val="00FC2805"/>
    <w:rsid w:val="00FC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F7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3664"/>
  </w:style>
  <w:style w:type="paragraph" w:styleId="a9">
    <w:name w:val="footer"/>
    <w:basedOn w:val="a"/>
    <w:link w:val="aa"/>
    <w:uiPriority w:val="99"/>
    <w:semiHidden/>
    <w:unhideWhenUsed/>
    <w:rsid w:val="00F7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3664"/>
  </w:style>
  <w:style w:type="character" w:styleId="ab">
    <w:name w:val="Hyperlink"/>
    <w:basedOn w:val="a0"/>
    <w:uiPriority w:val="99"/>
    <w:unhideWhenUsed/>
    <w:rsid w:val="005F63D1"/>
    <w:rPr>
      <w:color w:val="0000FF" w:themeColor="hyperlink"/>
      <w:u w:val="single"/>
    </w:rPr>
  </w:style>
  <w:style w:type="character" w:customStyle="1" w:styleId="spfo1">
    <w:name w:val="spfo1"/>
    <w:basedOn w:val="a0"/>
    <w:rsid w:val="0076603B"/>
  </w:style>
  <w:style w:type="paragraph" w:customStyle="1" w:styleId="tekstob">
    <w:name w:val="tekstob"/>
    <w:basedOn w:val="a"/>
    <w:rsid w:val="0076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C291-90E6-43AA-AD9A-A5C166D4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83</Pages>
  <Words>19572</Words>
  <Characters>111566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2018-11-13T06:16:00Z</cp:lastPrinted>
  <dcterms:created xsi:type="dcterms:W3CDTF">2018-11-13T06:18:00Z</dcterms:created>
  <dcterms:modified xsi:type="dcterms:W3CDTF">2019-12-30T02:18:00Z</dcterms:modified>
</cp:coreProperties>
</file>