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2" w:type="dxa"/>
        <w:jc w:val="center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2"/>
        <w:gridCol w:w="6244"/>
        <w:gridCol w:w="236"/>
      </w:tblGrid>
      <w:tr w:rsidR="005C6522" w:rsidRPr="005C6522" w:rsidTr="00B13295">
        <w:trPr>
          <w:jc w:val="center"/>
        </w:trPr>
        <w:tc>
          <w:tcPr>
            <w:tcW w:w="9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D35AD" wp14:editId="2C90EC90">
                  <wp:extent cx="514350" cy="667048"/>
                  <wp:effectExtent l="1905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A2" w:rsidRPr="00A04AFB" w:rsidRDefault="00971DA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D1B46" w:rsidRPr="006D1B46" w:rsidRDefault="006D1B46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22" w:rsidRPr="005C6522" w:rsidRDefault="004161F9" w:rsidP="00971DA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</w:t>
            </w:r>
            <w:r w:rsidR="00971DA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</w:t>
            </w:r>
            <w:proofErr w:type="gramStart"/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Т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Л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</w:p>
        </w:tc>
      </w:tr>
      <w:tr w:rsidR="005C6522" w:rsidRPr="005C6522" w:rsidTr="00B13295">
        <w:trPr>
          <w:jc w:val="center"/>
        </w:trPr>
        <w:tc>
          <w:tcPr>
            <w:tcW w:w="9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B13295">
        <w:trPr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8E6565" w:rsidP="008E6565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86014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86014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295" w:rsidRPr="005C6522" w:rsidRDefault="00B13295" w:rsidP="00B1329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</w:t>
            </w:r>
            <w:proofErr w:type="spellStart"/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</w:t>
            </w:r>
            <w:r w:rsidR="00E5387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 843-п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B1329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5A30A4" w:rsidRDefault="005A30A4" w:rsidP="00B13295">
      <w:pPr>
        <w:shd w:val="clear" w:color="auto" w:fill="FFFFFF"/>
        <w:autoSpaceDE w:val="0"/>
        <w:autoSpaceDN w:val="0"/>
        <w:adjustRightInd w:val="0"/>
        <w:spacing w:after="0" w:line="240" w:lineRule="auto"/>
        <w:ind w:right="423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4161F9" w:rsidRPr="00A04AFB" w:rsidRDefault="004161F9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требования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системы воинского учёта граждан Российской Федерации и порядка проведения смотров-конкурсов на лучшую организацию осуществления </w:t>
      </w:r>
      <w:r>
        <w:rPr>
          <w:rFonts w:ascii="Times New Roman" w:hAnsi="Times New Roman" w:cs="Times New Roman"/>
          <w:sz w:val="28"/>
          <w:szCs w:val="28"/>
        </w:rPr>
        <w:t>воинского учёта»,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8C1">
        <w:rPr>
          <w:rFonts w:ascii="Times New Roman" w:hAnsi="Times New Roman" w:cs="Times New Roman"/>
          <w:sz w:val="28"/>
          <w:szCs w:val="28"/>
        </w:rPr>
        <w:t>от 23.04.2015 № 196-п «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смотр</w:t>
      </w:r>
      <w:r>
        <w:rPr>
          <w:rStyle w:val="a4"/>
          <w:rFonts w:ascii="Times New Roman" w:hAnsi="Times New Roman"/>
          <w:i w:val="0"/>
          <w:sz w:val="28"/>
          <w:szCs w:val="28"/>
        </w:rPr>
        <w:t>а -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конкурс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я </w:t>
      </w:r>
      <w:r w:rsidR="00ED18C1">
        <w:rPr>
          <w:rStyle w:val="a4"/>
          <w:rFonts w:ascii="Times New Roman" w:hAnsi="Times New Roman"/>
          <w:i w:val="0"/>
          <w:sz w:val="28"/>
          <w:szCs w:val="28"/>
        </w:rPr>
        <w:t>граждан, пребывающих в запасе, Идринского района»</w:t>
      </w:r>
      <w:r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19, 33 </w:t>
      </w:r>
      <w:r w:rsidRPr="005C652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</w:rPr>
        <w:t>ПОСТАНОВЛЯЮ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:</w:t>
      </w:r>
    </w:p>
    <w:p w:rsidR="00D863E0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</w:t>
      </w:r>
      <w:r w:rsidR="00695EAB" w:rsidRPr="00695EA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>за 201</w:t>
      </w:r>
      <w:r w:rsidR="0086014E">
        <w:rPr>
          <w:rStyle w:val="a4"/>
          <w:rFonts w:ascii="Times New Roman" w:hAnsi="Times New Roman"/>
          <w:i w:val="0"/>
          <w:sz w:val="28"/>
          <w:szCs w:val="28"/>
        </w:rPr>
        <w:t>9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863E0" w:rsidRDefault="00D863E0" w:rsidP="003F628B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 Утвердить сведения о должностных лицах, добившихся высоких показателей в работе по организации осуществления воинского учёта в военных комиссариат</w:t>
      </w:r>
      <w:r w:rsidR="005A30A4">
        <w:rPr>
          <w:rStyle w:val="a4"/>
          <w:rFonts w:ascii="Times New Roman" w:hAnsi="Times New Roman"/>
          <w:i w:val="0"/>
          <w:sz w:val="28"/>
          <w:szCs w:val="28"/>
        </w:rPr>
        <w:t>ах</w:t>
      </w:r>
      <w:r>
        <w:rPr>
          <w:rStyle w:val="a4"/>
          <w:rFonts w:ascii="Times New Roman" w:hAnsi="Times New Roman"/>
          <w:i w:val="0"/>
          <w:sz w:val="28"/>
          <w:szCs w:val="28"/>
        </w:rPr>
        <w:t>, органах местного самоуправления и организациях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в 201</w:t>
      </w:r>
      <w:r w:rsidR="00DE1CE3">
        <w:rPr>
          <w:rStyle w:val="a4"/>
          <w:rFonts w:ascii="Times New Roman" w:hAnsi="Times New Roman"/>
          <w:i w:val="0"/>
          <w:sz w:val="28"/>
          <w:szCs w:val="28"/>
        </w:rPr>
        <w:t>8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году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26DDE" w:rsidRPr="005C6522" w:rsidRDefault="00D863E0" w:rsidP="006226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6226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22602" w:rsidRPr="001A1A69">
        <w:rPr>
          <w:rFonts w:ascii="Times New Roman" w:hAnsi="Times New Roman"/>
          <w:sz w:val="28"/>
          <w:szCs w:val="28"/>
        </w:rPr>
        <w:t>Признать утратившим силу постано</w:t>
      </w:r>
      <w:r w:rsidR="00622602">
        <w:rPr>
          <w:rFonts w:ascii="Times New Roman" w:hAnsi="Times New Roman"/>
          <w:sz w:val="28"/>
          <w:szCs w:val="28"/>
        </w:rPr>
        <w:t>вление администрации района от 30</w:t>
      </w:r>
      <w:r w:rsidR="00622602" w:rsidRPr="001A1A69">
        <w:rPr>
          <w:rFonts w:ascii="Times New Roman" w:hAnsi="Times New Roman"/>
          <w:sz w:val="28"/>
          <w:szCs w:val="28"/>
        </w:rPr>
        <w:t>.</w:t>
      </w:r>
      <w:r w:rsidR="00622602">
        <w:rPr>
          <w:rFonts w:ascii="Times New Roman" w:hAnsi="Times New Roman"/>
          <w:sz w:val="28"/>
          <w:szCs w:val="28"/>
        </w:rPr>
        <w:t>10</w:t>
      </w:r>
      <w:r w:rsidR="00622602" w:rsidRPr="001A1A69">
        <w:rPr>
          <w:rFonts w:ascii="Times New Roman" w:hAnsi="Times New Roman"/>
          <w:sz w:val="28"/>
          <w:szCs w:val="28"/>
        </w:rPr>
        <w:t>.201</w:t>
      </w:r>
      <w:r w:rsidR="0086014E">
        <w:rPr>
          <w:rFonts w:ascii="Times New Roman" w:hAnsi="Times New Roman"/>
          <w:sz w:val="28"/>
          <w:szCs w:val="28"/>
        </w:rPr>
        <w:t>8</w:t>
      </w:r>
      <w:r w:rsidR="00622602">
        <w:rPr>
          <w:rFonts w:ascii="Times New Roman" w:hAnsi="Times New Roman"/>
          <w:sz w:val="28"/>
          <w:szCs w:val="28"/>
        </w:rPr>
        <w:t xml:space="preserve">  </w:t>
      </w:r>
      <w:r w:rsidR="00622602" w:rsidRPr="001A1A69">
        <w:rPr>
          <w:rFonts w:ascii="Times New Roman" w:hAnsi="Times New Roman"/>
          <w:sz w:val="28"/>
          <w:szCs w:val="28"/>
        </w:rPr>
        <w:t xml:space="preserve">№ </w:t>
      </w:r>
      <w:r w:rsidR="0086014E">
        <w:rPr>
          <w:rFonts w:ascii="Times New Roman" w:hAnsi="Times New Roman"/>
          <w:sz w:val="28"/>
          <w:szCs w:val="28"/>
        </w:rPr>
        <w:t>881</w:t>
      </w:r>
      <w:r w:rsidR="00622602">
        <w:rPr>
          <w:rFonts w:ascii="Times New Roman" w:hAnsi="Times New Roman"/>
          <w:sz w:val="28"/>
          <w:szCs w:val="28"/>
        </w:rPr>
        <w:t>-</w:t>
      </w:r>
      <w:r w:rsidR="00622602" w:rsidRPr="001A1A69">
        <w:rPr>
          <w:rFonts w:ascii="Times New Roman" w:hAnsi="Times New Roman"/>
          <w:sz w:val="28"/>
          <w:szCs w:val="28"/>
        </w:rPr>
        <w:t>п «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  <w:r w:rsidR="00622602" w:rsidRPr="001A1A69">
        <w:rPr>
          <w:rFonts w:ascii="Times New Roman" w:hAnsi="Times New Roman"/>
          <w:sz w:val="28"/>
          <w:szCs w:val="28"/>
        </w:rPr>
        <w:t>».</w:t>
      </w:r>
    </w:p>
    <w:p w:rsidR="003F628B" w:rsidRDefault="00217B09" w:rsidP="003F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63E0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>.</w:t>
      </w:r>
      <w:r w:rsidR="00A04AFB">
        <w:rPr>
          <w:rFonts w:ascii="Times New Roman" w:hAnsi="Times New Roman" w:cs="Times New Roman"/>
          <w:sz w:val="28"/>
          <w:szCs w:val="28"/>
        </w:rPr>
        <w:t>Опубликовать</w:t>
      </w:r>
      <w:r w:rsidRPr="00217B09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образования Идринский </w:t>
      </w:r>
      <w:r w:rsidRPr="006D1B46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5387F">
        <w:rPr>
          <w:rFonts w:ascii="Times New Roman" w:hAnsi="Times New Roman" w:cs="Times New Roman"/>
          <w:sz w:val="28"/>
          <w:szCs w:val="28"/>
        </w:rPr>
        <w:t>(</w:t>
      </w:r>
      <w:r w:rsidR="00E538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538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87F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E5387F">
        <w:rPr>
          <w:rFonts w:ascii="Times New Roman" w:hAnsi="Times New Roman" w:cs="Times New Roman"/>
          <w:sz w:val="28"/>
          <w:szCs w:val="28"/>
        </w:rPr>
        <w:t>-</w:t>
      </w:r>
      <w:r w:rsidR="00E5387F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E538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8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387F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D863E0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B09"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217B09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E5387F" w:rsidRDefault="00E5387F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87F" w:rsidRDefault="00E5387F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1F9" w:rsidRPr="00A04AFB" w:rsidRDefault="004161F9" w:rsidP="003F62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26DDE" w:rsidRDefault="009D30C8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538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8601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Глава </w:t>
      </w:r>
      <w:r w:rsidR="00974B5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01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района                  </w:t>
      </w:r>
      <w:r w:rsidR="00974B5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E538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="00974B5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А.В. Киреев </w:t>
      </w:r>
      <w:r w:rsidR="008601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A866CE" w:rsidRDefault="00A866CE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  <w:sectPr w:rsidR="00A866CE" w:rsidSect="00B13295">
          <w:pgSz w:w="11906" w:h="16838"/>
          <w:pgMar w:top="1418" w:right="991" w:bottom="1843" w:left="1701" w:header="709" w:footer="709" w:gutter="0"/>
          <w:cols w:space="708"/>
          <w:docGrid w:linePitch="360"/>
        </w:sect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866CE" w:rsidRPr="00A866CE" w:rsidRDefault="00974B50" w:rsidP="00974B50">
      <w:pPr>
        <w:keepNext/>
        <w:spacing w:after="0" w:line="240" w:lineRule="auto"/>
        <w:ind w:left="1008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866CE" w:rsidRPr="00A866CE">
        <w:rPr>
          <w:rFonts w:ascii="Times New Roman" w:hAnsi="Times New Roman" w:cs="Times New Roman"/>
          <w:b/>
          <w:sz w:val="28"/>
          <w:szCs w:val="28"/>
        </w:rPr>
        <w:t xml:space="preserve"> Идринского района</w:t>
      </w: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 xml:space="preserve">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A866CE" w:rsidRPr="00A866CE" w:rsidRDefault="00A866CE" w:rsidP="00A866CE">
      <w:pPr>
        <w:spacing w:after="0" w:line="240" w:lineRule="auto"/>
        <w:ind w:left="10080"/>
        <w:rPr>
          <w:rFonts w:ascii="Times New Roman" w:hAnsi="Times New Roman" w:cs="Times New Roman"/>
          <w:bCs/>
          <w:color w:val="000000"/>
          <w:sz w:val="20"/>
          <w:szCs w:val="28"/>
        </w:rPr>
      </w:pPr>
    </w:p>
    <w:p w:rsidR="00A866CE" w:rsidRPr="00A866CE" w:rsidRDefault="00A866CE" w:rsidP="00A866CE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СВЕДЕНИЯ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организации осуществления воинского учета в военных комиссариатах,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органах</w:t>
      </w:r>
      <w:proofErr w:type="gramEnd"/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местного самоуправления и организациях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Идринского района в 201</w:t>
      </w:r>
      <w:r w:rsidR="00974B5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Сведения о результатах работы по обеспечению функционирования системы воинского учета, организации осуществления воинского учета в военных комиссариатах, органах местного самоуправления и организациях.</w:t>
      </w:r>
      <w:proofErr w:type="gramEnd"/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1. Общие сведения: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военных комиссариатов муниципальных образований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органов местного самоуправления, осуществляющих первичный воинский учёт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15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866CE" w:rsidRPr="00A866CE" w:rsidRDefault="00A866CE" w:rsidP="00A866CE">
      <w:pPr>
        <w:tabs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работников, осуществляющих воинский учет в органах местного самоуправления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15                               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(в </w:t>
      </w:r>
      <w:proofErr w:type="spell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освобождённых и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15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работников, выполняющих обязанности по совместительству);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организаций, осуществляющих ведение воинского учета граждан по месту их работы </w:t>
      </w:r>
      <w:r w:rsidR="00A010C2">
        <w:rPr>
          <w:rFonts w:ascii="Times New Roman" w:hAnsi="Times New Roman" w:cs="Times New Roman"/>
          <w:color w:val="000000"/>
          <w:sz w:val="28"/>
          <w:szCs w:val="24"/>
          <w:u w:val="single"/>
        </w:rPr>
        <w:t>57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(в </w:t>
      </w:r>
      <w:proofErr w:type="spell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организаций, содержащих освобожденных работников и </w:t>
      </w:r>
      <w:r w:rsidR="00A010C2">
        <w:rPr>
          <w:rFonts w:ascii="Times New Roman" w:hAnsi="Times New Roman" w:cs="Times New Roman"/>
          <w:color w:val="000000"/>
          <w:sz w:val="28"/>
          <w:szCs w:val="24"/>
          <w:u w:val="single"/>
        </w:rPr>
        <w:t>57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организаций, содержащих работников, выполняющих обязанности по совместительству).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2. Сведения о результатах осуществления 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контроля за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ведением воинского учета: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количество проверенных военных комиссариатов муниципальных образований по вопросам осуществления воинского учёта _____, в том числе оценено 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«отлично» ___, на «хорошо» _____, на «удовлетворительно» ______,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>на «неудовлетворительно» _____;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проверенных органов местного самоуправления по вопросам осуществления первичного воинского учёта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6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в том числе оценено на «отлично»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-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«хорошо»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4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«удовлетворительно»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2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на «неудовлетворительно»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,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из них в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органах местного самоуправления выявлены случаи нецелевого использования средств на осуществление полномочий по первичному воинскому учету;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проверенных организаций по вопросам осуществления первичного воинского учёта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15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 том числе оценено на «отлично»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2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«хорошо»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7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«удовлетворительно»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6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на «неудовлетворительно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-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;</w:t>
      </w:r>
      <w:proofErr w:type="gramEnd"/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3. Программа обеспечения устойчивого функционирования системы воинского учета и бронирования граждан, пребывающих в запасе, на 201</w:t>
      </w:r>
      <w:r w:rsidR="004A3FC7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год утверждена 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59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A866CE">
        <w:rPr>
          <w:rFonts w:ascii="Times New Roman" w:hAnsi="Times New Roman" w:cs="Times New Roman"/>
          <w:color w:val="000000"/>
          <w:sz w:val="20"/>
          <w:szCs w:val="24"/>
        </w:rPr>
        <w:t xml:space="preserve">(наименование нормативного правового акта органа исполнительной власти субъекта </w:t>
      </w:r>
      <w:proofErr w:type="gramEnd"/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___________________________________________________________.</w:t>
      </w:r>
    </w:p>
    <w:p w:rsidR="00A866CE" w:rsidRPr="00A866CE" w:rsidRDefault="00A866CE" w:rsidP="00A866CE">
      <w:pPr>
        <w:spacing w:after="0" w:line="240" w:lineRule="auto"/>
        <w:ind w:right="629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A866CE">
        <w:rPr>
          <w:rFonts w:ascii="Times New Roman" w:hAnsi="Times New Roman" w:cs="Times New Roman"/>
          <w:color w:val="000000"/>
          <w:sz w:val="20"/>
          <w:szCs w:val="24"/>
        </w:rPr>
        <w:t>Российской Федерации, дата утверждения и номер)</w:t>
      </w:r>
      <w:proofErr w:type="gramEnd"/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4. Сведения о принятых мерах административного воздействия к должностным лицам органов местного самоуправления, организаций и гражданам, не исполняющим обязанности, установленные законодательными и иными нормативными правовыми актами Российской Федерации: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наложено административных взысканий в соответствии с Кодексом Российской Федерации об административных правонарушениях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должностных лиц органов местного самоуправления и организаций, на граждан  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16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в том числе: 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наложены административные штрафы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-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должностных лиц органов местного самоуправления и организаций на общую сумму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-  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рублей,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6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граждан на общую сумму </w:t>
      </w:r>
      <w:r w:rsidR="00A158D4">
        <w:rPr>
          <w:rFonts w:ascii="Times New Roman" w:hAnsi="Times New Roman" w:cs="Times New Roman"/>
          <w:color w:val="000000"/>
          <w:sz w:val="28"/>
          <w:szCs w:val="24"/>
          <w:u w:val="single"/>
        </w:rPr>
        <w:t>1600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рублей.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5. </w:t>
      </w:r>
      <w:r w:rsidRPr="00A866CE">
        <w:rPr>
          <w:rFonts w:ascii="Times New Roman" w:hAnsi="Times New Roman" w:cs="Times New Roman"/>
          <w:color w:val="000000"/>
          <w:sz w:val="28"/>
          <w:szCs w:val="32"/>
        </w:rPr>
        <w:t>Качество осуществления воинского учета</w:t>
      </w:r>
      <w:r w:rsidRPr="00A86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в военном комиссариате _______________________________________</w:t>
      </w:r>
    </w:p>
    <w:p w:rsidR="00A866CE" w:rsidRPr="00A866CE" w:rsidRDefault="00A866CE" w:rsidP="00A866CE">
      <w:pPr>
        <w:spacing w:after="0" w:line="240" w:lineRule="auto"/>
        <w:ind w:firstLine="918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проверено ______________________________________________________________________________________________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126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военного управления, осуществлявшего проверку, период проведения проверки)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и оценено _______________________.</w:t>
      </w:r>
    </w:p>
    <w:p w:rsidR="00A866CE" w:rsidRPr="00A866CE" w:rsidRDefault="00A866CE" w:rsidP="00A866CE">
      <w:pPr>
        <w:spacing w:after="0" w:line="240" w:lineRule="auto"/>
        <w:ind w:firstLine="216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(оценка прописью)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военном комиссариате субъекта Российской Федерации, занявшем 1-е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t>Качество осуществления воинского учёта граждан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1"/>
        <w:sym w:font="Symbol" w:char="F02A"/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03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1160"/>
        <w:gridCol w:w="1178"/>
        <w:gridCol w:w="1162"/>
        <w:gridCol w:w="1178"/>
      </w:tblGrid>
      <w:tr w:rsidR="00A866CE" w:rsidRPr="00A866CE" w:rsidTr="005D5A60"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1-ое место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1. Организация осуществления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Организация количественного и качественного учета призывных и мобилизационных людских ресурсов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территории, на которой осуществляет свою деятельность военный комиссариат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 xml:space="preserve">Обеспечение накопления необходимых военных специалистов непосредственно в районах комплектования войск и сил флота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целях гарантированного и качественного комплектования Вооруженных Сил Российской Федерации и других войск по мобилизационному плану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обеспечения устойчивого функционирования системы воинского учета на территории, на которой осуществляют свою деятельность военные комиссариаты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Непосредственное руководство осуществлением воинского учета граждан в военных комиссариатах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Содействие федеральным органам исполнительной власти, осуществляющим учет граждан, пребывающих в запасе, в организации мероприятий по воинскому учету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взаимодействия с органами внутренних дел, Государственной противопожарной службой, учреждениями и органами уголовно-исполнительной системы, органами по контролю за оборотом наркотических средств и психотропных веществ по вопросу направления документов воинского учета граждан, проходящих службу в указанных органах и учреждениях на должностях рядового и начальствующего состава, имеющих специальные звания, в военные комиссариаты по месту жительства или месту пребывания указанных граждан для оформления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их постановки на специальный воинский учет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хранения документов воинского учета граждан, проходящих службу в органах внутренних дел, Государственной противопожарной службой,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веществ, в военных комиссариатах установленным порядком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состоянием воинского учета граждан в военных комиссариатах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Координация деятельности по осуществлению первичного воинского учета и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реализацией переданных органам местного самоуправления муниципальных образований полномочий Российской Федерации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целевым использованием субвенций, предоставляемых органам местного самоуправления муниципальных образований на реализацию переданных им полномочий Российской Федерации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организациями воинского учета в соответствии с установленным порядком его проведения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обеспечения функционирования системы воинского учета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военных комиссариатах муниципальных образований, обобщение и распространение передового опыта работы по осуществлению воинского учета граждан, пребывающих в запасе</w:t>
            </w:r>
          </w:p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смотров-конкурсов на лучшую организацию осуществления воинского учета на обслуживаемой территории</w:t>
            </w:r>
          </w:p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на рассмотрение органом исполнительной власти субъекта Российской Федерации анализа выполнения мероприятий, предусмотренных программой обеспечения устойчивого функционирования системы воинского учета и бронирования граждан, пребывающих в запасе с установленной периодичностью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проведением военными комиссариатами муниципальных образований своевременного медицинского освидетельствования граждан, пребывающих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взаимодействия с органами внутренних дел и территориальным органом ФМС России по выявлению граждан и должностных лиц, не исполняющих обязанности по воинскому учету, установленные Федеральным законом "О воинской обязанности и военной службе", Положением о воинском учете, и привлечение их к ответственности в соответствии с законодательством Российской Федерации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доведения до органов исполнительной власти субъектов Российской Федерации, органов местного самоуправления и организаций, находящихся на обслуживаемой территории, форм документов воинского учета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Наличие и соответствие требованиям руководящих документов плана подготовки отдела, полнота и качество его выполнения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профессионально-должностной подготовки военнослужащих и специальной подготовки гражданского персонала военных комиссариатов муниципальных образований по вопросам воинского учета и бронирования граждан, пребывающих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Методических рекомендаций по осуществлению первичного воинского учета в органах местного самоуправления и ведению воинского учета в организациях, пособий и разработок, указаний штаба военного округа, военного комиссариата субъекта Российской Федерации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представления отчетности по воинскому учету и бронированию граждан, пребывающих в запасе в штаб военного округа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(флота)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нормативными правовыми актами Министерства обороны Российской Федерации.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1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2. Организация бронирования граждан, пребывающих в запасе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правильностью бронирования граждан, пребывающих в запасе, в военных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комиссариатах муниципальных образований и организациях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и ведение количественного учета работающих и забронированных граждан по организациям и отраслям экономики 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внесения изменений и дополнений в Перечни должностей и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бронируются граждане, пребывающие в запасе и доведение указанных изменений до военных комиссариатов муниципальных образований. Ведение учета действующих и признанных утратившими силу Перечней должностей и профессий, по которым бронируются граждане, пребывающие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Организация учета, хранения и выдачи бланков документов строгой отчетности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хранения и ведения учета бланков документов строгой отчетности в военном комиссариате субъекта Российской Федерации и соблюдение установленного порядка выдачи их в военные комиссариаты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учета, хранения и обоснованности выдачи бланков документов строгой отчетности военными комиссариатами муниципальных образований 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проверок наличия бланков строгой отчетности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внутрипроверочной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  военного комиссариата субъекта Российской Федерации в установленные сроки, наличие актов проверок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установленного неснижаемого запаса бланков военных билетов,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Представление в установленные сроки в штаб военного округа (флота) сведений о наличии бланков документов строгой отчетности и потребности в них на текущий и последующий годы</w:t>
            </w:r>
            <w:proofErr w:type="gramEnd"/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Сумма баллов за 3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32"/>
              </w:rPr>
              <w:t>4. Полнота и достоверность документов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Соответствие полноты и достоверности документов воинского учета в подчиненных военных комиссариатах установленным требованиям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Сумма баллов за 4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en-US"/>
              </w:rPr>
              <w:t>II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военных комиссариатах муниципальных образований,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t>Качество осуществления воинского учёта граждан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3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3-е место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widowControl w:val="0"/>
              <w:spacing w:after="0" w:line="30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военно-учетными работниками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обязанности работников, осуществляющих воинский учет в военном комиссариате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приказом военного комиссара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ответственных должностных лиц, допущенных к работе с документами воинского учета граждан,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хранения документов воинского учета граждан,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 на должностях рядового и начальствующего состава, имеющих специальные звания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зачисления на специальный (общий) воинский учет граждан, поступивших на службу (уволенных со службы) в органы внутренних дел, Государственную противопожарную службу, учреждения и органы уголовно-исполнительной системы, органы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 на должности рядового и начальствующего состава, имеющих специальные звания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порядок направления в органы внутренних дел, Государственную противопожарную службу, учреждения и органы уголовно-исполнительной системы,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по контролю за оборотом наркотических средств и психотропных веществ личных дел граждан для рассмотрения вопроса об их приеме на службу в данные органы и учреждения, а также для исчисления им выслуги лет, присвоения первого специального звания, назначения пенсии при увольнении</w:t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организациями и учреждениями, в которых работают или проходят обучение граждане женского пола по соответствующим профессиям, специальностям, направлениям подготовки согласно Положению о воинском учете и производство постановки на воинский учет граждан женского пола, имеющих военно-учетные специальности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органами местного самоуправления первичного воинского учета, в том числе целевого расходования субвенций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организациями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доведения до органов местного самоуправления и организаций, находящихся на обслуживаемой территории, форм документов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Вынесение на рассмотрение   администрацией муниципального образования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обеспечения устойчивого функционирования системы воинского учета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бронирования граждан, пребывающих в запасе и анализа выполнения предусмотренных  указанной программой мероприятий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соответствие требованиям руководящих документов плана подготовки отделения, полнота и качество его выполнения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постановки на воинский учет (снятия с воинского учета) граждан по месту жительства,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исключения граждан с воинского учета по достижению ими предельного возраста пребывания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воинского учета граждан, проживающих или пребывающих (на срок более 3 месяцев) на территории, обслуживаемой военным комиссариатом при постановке на воинский учет (снятии с воинского учета) по месту пребывания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изучения деловых и морально-психологических качеств военнообязанных с целью наиболее целесообразного их использования в период мобилизации и в военное время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Обобщение и анализ сведений о количественном и качественном составе граждан, проживающих на территории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обслуживаемой военным комиссариатом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и своевременное представление этих сведений в военный комиссариат субъекта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Накопление необходимых военных специалистов в интересах их эффективного использования для комплектования войск и сил флота в период мобилизации и в военное время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изменения военнообязанным военно-учетных специальностей на более ценные для войск, формирований и органов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военно-учетные специальности и воинские должности в соответствии с полученной ими подготовкой на военных сборах, приобретенными гражданскими специальностями или полученным образованием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поддержания в актуальном состоянии сведений, содержащихся в документах воинского учета военного комиссариата и внесение в них изменений о семейном положении, образовании, владении военно-учетными и гражданскими специальностями, годности к военной службе по состоянию здоровья, месте жительства и других военно-учетных признаков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плановых медицинских освидетельствований граждан и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граждан, заявивших жалобы на состояние здоровья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сверки документов воинского учета военного комиссариата с документами первичного учета органов местного самоуправления и сведениями воинского учета организаций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проведения практических занятий с работниками по воинскому учету и бронированию военного комиссариата, органов местного самоуправления и организаций, находящихся на территории,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обслуживаемой военным комиссариатом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DB3522">
        <w:trPr>
          <w:trHeight w:val="1124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Проведение инструкторско-методических занятий с должностными лицами организаций, осуществляющих эксплуатацию жилых домов, органов записи актов гражданского состояния,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органов дознания, предварительного следствия, судов и государственной службы медико-санитарной экспертизы по вопросам выполнения обязанностей по воинскому </w:t>
            </w:r>
            <w:r w:rsidR="00DB352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учету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вызова граждан, пребывающих в запасе, по вопросам воинского учета, обоснованность, учет вызываемых в  военный комиссариат граждан, ведение соответствующих журналов и книг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Выявление совместно с органами внутренних дел и территориальными органами ФМС России граждан, проживающих или пребывающих (на срок более трех месяцев)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находящихся на территории,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обслуживаемой военным комиссариатом, и подлежащих постановке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должностным лицам организаций и гражданам порядка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воинской учете, информированию об их ответственности за неисполнение указанных обязанностей.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информационных стендов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движением учитываемых ресурсов. Наличие и ведение журнала учета движения прапорщиков, мичманов, сержантов, старшин, солдат и матросов запаса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своевременность уточнения справочных материалов начальника</w:t>
            </w:r>
            <w:r w:rsidRPr="00A866C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Методических рекомендаций по осуществлению первичного воинского учета в органах местного самоуправления и ведению воинского учета в организациях (изданных Воениздатом либо иной организацией по согласованию с Главным организационно-мобилизационным управлением Генерального штаба Вооруженных Сил Российской Федерации), пособий и разработок, указаний военного комиссариата субъекта Российской Федерации</w:t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Реализация полномочий, предоставленных военному комиссару муниципального образования Кодексом Российской Федерации об административных правонарушениях, по привлечению к административной ответственности должностных лиц организаций и граждан за невыполнение обязанностей по воинскому учету. Направление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обращений о доставлении лиц, в отношении которых возбуждено дело об административном правонарушении, для составления протокола, в органы внутренних дел не направляются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1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бронирования 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5"/>
              </w:rPr>
              <w:t>граждан, пребывающих в запасе</w:t>
            </w: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 достоверность учета организаций, осуществляющих бронирование</w:t>
            </w:r>
            <w:r w:rsidR="00DB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правомерностью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бронирования граждан, пребывающих в запасе, в организациях и представлением установленной отчетности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229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Ведение количественного учета работающих и забронированных граждан по организациям и отраслям экономики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172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Оформления в установленном порядке гражданам отсрочек от призыва на военную службу на период мобилизации и на военное время. Соблюдение сроков зачисления и снятия со специального учета. Порядок получения, хранения и возвращения военных билетов, карточек формы Т-2, Т-2 (ГС), удостоверений и извещений формы-4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Обеспечение организаций бланками документов, необходимых для оформления гражданам отсрочек от призыва на военную службу по мобилизации и в военное время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правильностью их расходования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внесения изменений и дополнений в Перечни должностей и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бронируются граждане, пребывающие в запасе. Ведение учета действующих и признанных утратившими силу Перечней должностей и профессий, по которым бронируются граждане, пребывающие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Организация учета, хранение и выдача бланков документов строгой отчетности</w:t>
            </w: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хранения и ведения учета бланков строгой отчетности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134"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выдачи бланков строгой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отчетности должностным лицам военного комиссариата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Предоставление отчетности должностными лицами военного комиссариата о расходовании бланков военных билетов, обоснованность и наличие оправдательных документов на выдачу военных билетов призывникам и гражданам, пребывающим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уничтожения бланков строгой отчетности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проверок наличия бланков строгой отчетности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внутрипроверочной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 военного комиссариата в установленные сроки, наличие актов проверок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274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установленного неснижаемого запаса бланков военных билетов,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должностного лица, осуществляющего прием граждан, перечня утраченных и похищенных бланков военных билетов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443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учета военных билетов, поступивших в военный комиссариат из других организаций, организация вручения их владельцам.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443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3 подраздел</w:t>
            </w:r>
          </w:p>
          <w:p w:rsidR="00DB3522" w:rsidRDefault="00DB3522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3522" w:rsidRPr="00A866CE" w:rsidRDefault="00DB3522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 Полнота и достоверность документов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DB3522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воинского учета граждан (алфавитные и учетные карточки) формам, установленным Министерством обороны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воинского учета правилам, порядку и требованиям по их ведению, наличие расхождений имеющихся в них сведений с фактическими данными граждан, с учетными сведениями органов местного самоуправления и данными территориальных органов государственной власти и организаций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4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порядка хранения и уничтожения документов воинского учета граждан снятых (исключенных) с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ведения электронной базы данных сведений документов воинского учета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4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воинского учёта в органах местного самоуправления,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/>
          <w:color w:val="000000"/>
          <w:sz w:val="24"/>
          <w:szCs w:val="24"/>
        </w:rPr>
        <w:t>Качество осуществления первичного воинского учёта призывников и граждан, пребывающих в запасе.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5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3-е место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первичного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военно-учетными работниками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военно-учетном столе</w:t>
            </w:r>
            <w:r w:rsidRPr="00A86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6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Функциональные обязанности военно-учетных работников по осуществлению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органа местного самоуправления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военным комиссариатом муниципального образования, по назначению на должность, перемещению и увольнению работников, осуществляющих  воинский учет</w:t>
            </w:r>
          </w:p>
          <w:p w:rsidR="00572B9B" w:rsidRPr="00A866CE" w:rsidRDefault="00572B9B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руководителя органа местного самоуправления о возложении обязанностей  по ведению воинского учета при временном убытии военно-учетного работника (отпуск, болезнь, командировка) на другое должностное лицо; акт по передаче документов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работников, осуществляющих воинский учет, оргтехникой и средствами связи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осуществлению первичного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других 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 комиссариатом муниципального образования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Наличие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Методических рекомендаций по осуществлению воинского учета в органах местного самоуправления, утвержденных к печати в июле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866C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начальником  Генерального штаба ВС РФ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военно-учетного стола (работника, осуществляющего воинский учет) со стороны руководителя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органа местного самоуправления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Выявление совместно с органами внутренних дел и территориальными органами ФМС России граждан, проживающих или пребывающих (на срок более трех месяцев)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органа местного самоуправления, и подлежащих постановке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учета организаций, находящихся на  территории органа местного самоуправления;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Перечня организаций, осуществляющих эксплуатацию жилых помещений, образовательных учреждений и иных организаций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ведения и хранения документов первичного воинского учета в машинописном и электронном видах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органом местного самоуправления сверки документов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Своевременность внесения изменений в сведения, содержащиеся в документах первичного воинского учета, и сообщение о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внесенных изменениях в 2-недельный срок в военный комиссариат установленным порядком.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информирование должностных ли организаций и граждан об ответственности за неисполнение указанных обязанностей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Наличие справочной информации по воинскому учету, мобилизационной подготовке и мобилизации,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стендов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военно-учетным столом (работником, осуществляющим воинский учет) мероприятий по проверке у граждан, принимаемых на воинский учет наличия и подлинности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подлинности записей в них, наличие мобилизационных предписаний (для военнообязанных запаса при наличии в военных билетах отметок об их вручении),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отметок в документах воинского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(при наличии в военных билетах отметок об их вручении)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Сообщение в военный комиссариат о фактах обнаружения в военных билетах (временных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неоговоренных исправлений, неточностей и подделок, неполного количества листов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выдачи работниками, осуществляющими первичный воинский учет, гражданам расписок в приеме от них документов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военно-учетным столом (работником, осуществляющим воинский учет) обязанностей по оповещению граждан о необходимости личной явки в военный комиссариат в случае невозможности оформления постановки на воинский учет на основании представленных ими документов воинского учета, а также призывников, для постановки их на воинский учет.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тетрадей по обмену информацией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Представление в военный комиссариат списков граждан, подлежащих призыву на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военную службу, состоящих на воинском учете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производства отметок о постановке гражданина на воинский учет и снятии с воинского учета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7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Изъятие мобилизационных предписаний у военнообязанных и производство соответствующих отметок в военных билетах (военных билетах офицеров запаса)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8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военных билетов (временных удостоверений, выданных взамен военных билетов),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учетных карт, а также паспортов граждан Российской Федерации с отсутствующими в них отметками об отношении граждан к воинской обязанности в  военные комиссариаты для оформления постановки на воинский учет и снятия с воинского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 установленные сроки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Представление в военный комиссариат списков граждан, убывших на новое место жительства за пределы муниципального образования без снятия с воинского учета в установленные сроки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Соблюдение установленного порядка представления в военный комиссариат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документов воинского учета (сведений) на умерших граждан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60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хранения документов первичного воинского учета граждан, снятых с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229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Представление в военный комиссариат отчета о результатах осуществления первичного воинского учета в предшествующем году по установленной форме и в установленный срок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172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Организация своевременного оповещения граждан о вызовах (повестках) военного комиссариата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приема граждан по вопросам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ведением организациями воинского учета в соответствии с установленным порядком его проведения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журнала проверок осуществления воинского учета и бронирования граждан, пребывающих в запасе ВС РФ (для оформления результатов проверки организаций)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журнала проверок осуществления первичного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Осуществление руководителем органа местного самоуправления дополнительных выплат освобожденным работникам, осуществляющих воинский учет, за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выполнение функций, не предусмотренных в составе выполняемых полномочий по первичному воинскому учету:</w:t>
            </w:r>
            <w:r w:rsidRPr="00A866C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footnoteReference w:customMarkFollows="1" w:id="9"/>
              <w:sym w:font="Symbol" w:char="F02A"/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Сумма баллов за 1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Полнота и достоверность документов первичного воинского учета</w:t>
            </w: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первичного воинского учета граждан (учетные карты призывников, алфавитные и учетные карточки, карточки первичного воинского учета) формам, установленным Министерством обороны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Наличие неснижаемого запаса бланков документов воинского учета по каждому виду учетные карты призывников, алфавитные и учетные карточки, карточки первичного воинского учета)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0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sym w:font="Symbol" w:char="F02A"/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Соответствие документов первичного воинского учета правилам, порядку и требованиям по их ведению, наличие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расхождений имеющихся в них сведений с фактическими данными граждан, с документами воинского учета соответствующих военных комиссариатов, организаций, а также с карточками регистрации или домовыми книгами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1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 баллов за 2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Расходование субвенций, переданных на осуществление полномочий по первичному воинскому учёту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Соответствие произведенных расходов на оплату труда и начислениям на оплату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труда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выделенным объемам бюджетных ассигнований на указанные цели: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освобожденных военно-учетных работников;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военно-учетных работников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совместите-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льству</w:t>
            </w:r>
            <w:proofErr w:type="spellEnd"/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274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Соответствие произведенных расходов на материально-техническое обеспечение первичного воинского учета выделенным объемам бюджетных ассигнований на указанные цели: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аренды помещений;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услуг связи;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транспортных услуг;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командировочных расходов;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коммунальных услуг;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почтовых расходов;</w:t>
            </w:r>
          </w:p>
          <w:p w:rsid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расходов, связанных с обеспечением мебелью, инвентарем, оргтехникой, средствами связи, расходными материалами</w:t>
            </w:r>
          </w:p>
          <w:p w:rsidR="00572B9B" w:rsidRPr="00A866CE" w:rsidRDefault="00572B9B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инвентарного учета переданных работникам, осуществляющим воинский учет, материальных средств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trHeight w:val="443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установленные сроки в военный комиссариат сведений о планируемом объеме средств, необходимых для финансирования полномочий по воинскому учету с приложением расчетов и обоснований заявленной потребности в бюджетных ассигнованиях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3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>IV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раздел 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организациях,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t>Качество осуществления первичного воинского учёта призывников и граждан, пребывающих в запасе</w:t>
      </w:r>
      <w:r w:rsidRPr="00A866C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66CE">
        <w:rPr>
          <w:rFonts w:ascii="Times New Roman" w:hAnsi="Times New Roman" w:cs="Times New Roman"/>
          <w:bCs/>
          <w:sz w:val="28"/>
          <w:szCs w:val="24"/>
          <w:vertAlign w:val="superscript"/>
        </w:rPr>
        <w:footnoteReference w:customMarkFollows="1" w:id="12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3-е место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первичного воинского учета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работниками, осуществляющими воинский учет,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об организации воинского учета граждан, в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Функциональные обязанности работников,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осуществляющих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 военным комиссариатом муниципального образования (органом местного самоуправления) назначения на должность, перемещения и увольнения работников, осуществляющих воинский учет в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руководителя организации о возложении обязанностей по ведению воинского учета при временном убытии работника, осуществляющего воинский учет, (отпуск, временная нетрудоспособность, командировка) на другое должностное лицо; акт по передаче документов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работников, осуществляющих воинский учет, оргтехникой и средствами связи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осуществлению воинского учета и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других 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органами местного самоуправления, военными комиссариатами и руководителем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Наличие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рекомендаций по ведению воинского учета в организации, утвержденных к печати в июле  2017 начальником  Генерального штаба ВС РФ - первым заместителем МО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работника, осуществляющего воинский учет, со стороны руководителя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работы по выявлению граждан, подлежащих постанове на воинский учет по месту работы и (или) месту жительства (месту пребывания) и принятие мер к постановке их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Проведение мероприятий по проверке у граждан, принимаемых на работу, наличия отметок в паспортах граждан Российской Федерации об их отношении к воинской обязанности, наличия и подлинности документов воинского учета, а также подлинности записей в них, отметок о постановке на воинский учет по месту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жительства или месту пребывания, наличия мобилизационных предписаний (для военнообязанных при наличии в военных билетах отметок об их вручении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), жетонов с личными номерами Вооруженных Сил Российской Федерации (для военнообязанных при наличии в военных билетах отметки о вручении жетона)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Проведение работы по разъяснению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информирование граждан об ответственности за неисполнение указанных обязанностей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Сообщение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 военный комиссариат о фактах отсутствия отметок в паспортах граждан Российской Федерации об их отношении к воинской обязанности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, в документах воинского учета отметок о постановке на воинский учет, неоговоренных исправлений, неточностей и подделок, неполного количества листов, а также о случаях неисполнения гражданами обязанностей в области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Направление в соответствующие военные комиссариаты и (или) органы местного самоуправления сведений о гражданах, подлежащих воинскому учету и принятию (поступлению) или увольнению (отчислению) их с работы (из образовательных учреждений) в установленные сроки и по установленной форме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Направление по запросам соответствующих военных комиссариатов и (или) органов местного самоуправления необходимых сведений о гражданах, состоящих на воинском учете, а также о гражданах, не состоящих, но обязанных состоять на воинском учете в установленные сроки 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Представление в соответствующие военные комиссариаты списков граждан мужского пола 15- и 16-летнего возраста в установленные сроки 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Представление в соответствующие военные комиссариаты списков граждан мужского пола, подлежащих первоначальной постановке на воинский учет в установленные сроки и по установленной форме</w:t>
            </w:r>
            <w:r w:rsidRPr="00A866CE">
              <w:rPr>
                <w:rFonts w:ascii="Times New Roman" w:hAnsi="Times New Roman" w:cs="Times New Roman"/>
                <w:bCs/>
                <w:sz w:val="28"/>
                <w:szCs w:val="20"/>
                <w:vertAlign w:val="superscript"/>
              </w:rPr>
              <w:footnoteReference w:customMarkFollows="1" w:id="13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Проведение сверки сведений о воинском учете, содержащихся в личных карточках со сведениями, содержащимися в документах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воинского учета граждан с установленной периодичностью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Проведение сверки сведений о воинском учете, содержащихся в личных карточках со сведениями, содержащимися в документах воинского учета соответствующих военных комиссариатов и (или) органов местного самоуправления в установленном порядке и с установленной периодичностью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Сообщение в военный комиссариат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 в установленные сроки и по установленной форме. Внесение указанных изменений в личные карточки граждан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Организация своевременного оповещения граждан о вызовах (повестках) соответствующих военных комиссариатов или органов местного самоуправления и обеспечение своевременной явки граждан в военные комиссариаты.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Направление граждан при отсутствии отметок в паспорте гражданина Российской Федерации об отношении к воинской обязанности или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 постановке на воинский учет в документах воинского учета в военный комиссариат по месту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жительства (месту пребывания) или в орган местного самоуправления.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Направление в военный комиссариат сведений о гражданах женского пола в возрасте от 18 до 45 лет (ранее не состоявших на воинском учете), имеющих (получивших) специальности в соответствии с Перечнем военно-учетных специальностей, а также профессий, специальностей, при наличии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которых граждане женского пола получают военно-учетные специальности и подлежат постановке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Организация выдачи работниками, осуществляющими воинский учет, гражданам расписок в приеме от них документов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Наличие справочной информации по воинскому учету, мобилизационной подготовке и мобилизации, информационных стендов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журнала проверок осуществления воинского учета и бронирования граждан, пребывающих в запасе Вооруженных Сил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Осуществление руководителем организации дополнительных выплат работникам, выполняющим обязанности по ведению воинского учета по совместительству: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footnoteReference w:customMarkFollows="1" w:id="14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1 подраздел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 Полнота и достоверность сведений, содержащихся в личных карточках граждан 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числа призывников и граждан, пребывающих в запасе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установленного Методическими рекомендациями по ведению воинского учета в организациях порядка хранения личных карточек работников (форма № Т-2) и (или) личных карточек государственных (муниципальных) служащих (форма№ Т-2 ГС (МС), поставленных на воинский учет</w:t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Соответствие оформления раздела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II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личных карточек граждан, подлежащих воинскому учету, установленным правилам, порядку и требованиям по их ведению, наличие расхождений имеющихся в них сведений с фактическими данными граждан, с документами воинского учета соответствующих военных комиссариатов, органов местного самоуправления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5"/>
              <w:sym w:font="Symbol" w:char="F02A"/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572B9B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left="360" w:hanging="360"/>
              <w:jc w:val="center"/>
              <w:outlineLvl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3. Оформление бронирования граждан, пребывающих в запасе</w:t>
            </w: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Default="00A866CE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Правомерность и своевременность оформления бронирования граждан, пребывающих в запасе. Своевременность аннулирования отсрочек от призыва на военную службу в периоды мобилизации, военного положения и в военное время граждан, пребывающих в запасе, утративших право на отсрочку и сообщение в военный комиссариат</w:t>
            </w:r>
          </w:p>
          <w:p w:rsidR="00572B9B" w:rsidRPr="00A866CE" w:rsidRDefault="00572B9B" w:rsidP="00572B9B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учета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учет, организация их хранения в соответствии с установленным порядком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 своевременность представления в военный комиссариат установленной отчетности, в том числе о численности работников организаций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3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>V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66CE" w:rsidRPr="00A866CE" w:rsidRDefault="00974B50" w:rsidP="00A86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В</w:t>
      </w:r>
      <w:r w:rsidR="00A866CE"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оенн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ый</w:t>
      </w:r>
      <w:r w:rsidR="00A866CE"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комиссар Идринского и Краснотуранского районов Красноярского края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     </w:t>
      </w:r>
      <w:proofErr w:type="spell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А.</w:t>
      </w:r>
      <w:r w:rsidR="00974B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Сырыгин</w:t>
      </w:r>
      <w:proofErr w:type="spell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  <w:t xml:space="preserve">Общая сумма </w:t>
      </w:r>
      <w:proofErr w:type="gram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</w:t>
      </w:r>
      <w:proofErr w:type="gram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86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 составляет ______ </w:t>
      </w: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баллов</w:t>
      </w:r>
    </w:p>
    <w:p w:rsidR="00A866CE" w:rsidRPr="00A866CE" w:rsidRDefault="00A866CE" w:rsidP="00A866CE">
      <w:pPr>
        <w:spacing w:after="0" w:line="240" w:lineRule="auto"/>
        <w:ind w:firstLine="2700"/>
        <w:jc w:val="both"/>
        <w:rPr>
          <w:rFonts w:ascii="Times New Roman" w:hAnsi="Times New Roman" w:cs="Times New Roman"/>
          <w:bCs/>
          <w:color w:val="000000"/>
          <w:sz w:val="20"/>
          <w:szCs w:val="28"/>
        </w:rPr>
      </w:pPr>
      <w:r w:rsidRPr="00A866CE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  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Решением военного совета ___________________________________________________________________________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32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(полное наименование военного округа)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от _____ ___________ 20___ г. № ____ _____________________________ призна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н(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а) победителем конкурса на лучшую </w:t>
      </w:r>
    </w:p>
    <w:p w:rsidR="00A866CE" w:rsidRPr="00A866CE" w:rsidRDefault="00A866CE" w:rsidP="00A866CE">
      <w:pPr>
        <w:spacing w:after="0" w:line="240" w:lineRule="auto"/>
        <w:ind w:firstLine="46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0"/>
          <w:szCs w:val="28"/>
        </w:rPr>
        <w:t>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организацию осуществления воинского учета среди субъектов Российской Федерации.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Председатель конкурсной комиссии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</w:t>
      </w:r>
    </w:p>
    <w:p w:rsidR="00A866CE" w:rsidRPr="00A866CE" w:rsidRDefault="00A866CE" w:rsidP="00A866CE">
      <w:pPr>
        <w:spacing w:after="0" w:line="240" w:lineRule="auto"/>
        <w:ind w:firstLine="32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(полное наименование военного округа)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___________________________________________________________________ </w:t>
      </w:r>
    </w:p>
    <w:p w:rsid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(воинское звание, подпись, инициал имени, фамилия)</w:t>
      </w:r>
    </w:p>
    <w:p w:rsid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  <w:sectPr w:rsidR="00A866CE" w:rsidSect="00274F6F">
          <w:headerReference w:type="even" r:id="rId10"/>
          <w:headerReference w:type="default" r:id="rId11"/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5694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866CE">
        <w:rPr>
          <w:rFonts w:ascii="Times New Roman" w:hAnsi="Times New Roman" w:cs="Times New Roman"/>
          <w:sz w:val="28"/>
          <w:szCs w:val="28"/>
        </w:rPr>
        <w:t xml:space="preserve">  Идринского района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о должностных лицах, добившихся высоких показателей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в работе по организации осуществления воинского учёта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в военных комиссариатах, органах местного самоуправления и организациях в 201</w:t>
      </w:r>
      <w:r w:rsidR="00974B50">
        <w:rPr>
          <w:rFonts w:ascii="Times New Roman" w:hAnsi="Times New Roman" w:cs="Times New Roman"/>
          <w:b/>
          <w:sz w:val="28"/>
          <w:szCs w:val="28"/>
        </w:rPr>
        <w:t>9</w:t>
      </w:r>
      <w:r w:rsidRPr="00A866C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1. Глава района 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2. Заместитель главы района_________________________________________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 xml:space="preserve">  </w:t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(фамилия, имя, отчество)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 xml:space="preserve">номер служебного телефона)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3. Военный комиссар 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866CE">
        <w:rPr>
          <w:rFonts w:ascii="Times New Roman" w:hAnsi="Times New Roman" w:cs="Times New Roman"/>
          <w:sz w:val="20"/>
          <w:szCs w:val="20"/>
        </w:rPr>
        <w:t xml:space="preserve">(воинское звание, фамилия, имя, отчество, </w:t>
      </w:r>
      <w:proofErr w:type="gramEnd"/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номер служебного телефона)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С какого года в занимаемой должности 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ab/>
        <w:t xml:space="preserve">4. Должностные лица, добившиеся высоких показателей в организации осуществления воинского учёта, представляемые к выплате денежных премий 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>(почтовый адрес администрации)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>(почтовый адрес  военного комиссариата)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974B50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6CE" w:rsidRPr="00A866CE">
        <w:rPr>
          <w:rFonts w:ascii="Times New Roman" w:hAnsi="Times New Roman" w:cs="Times New Roman"/>
          <w:sz w:val="28"/>
          <w:szCs w:val="28"/>
        </w:rPr>
        <w:t>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866CE" w:rsidRPr="00A866CE">
        <w:rPr>
          <w:rFonts w:ascii="Times New Roman" w:hAnsi="Times New Roman" w:cs="Times New Roman"/>
          <w:sz w:val="28"/>
          <w:szCs w:val="28"/>
        </w:rPr>
        <w:t xml:space="preserve"> комиссар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Идринского и Краснотуранского районов Красноярского края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866CE" w:rsidRDefault="00A866CE" w:rsidP="00572B9B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866CE">
        <w:rPr>
          <w:rFonts w:ascii="Times New Roman" w:hAnsi="Times New Roman" w:cs="Times New Roman"/>
          <w:sz w:val="28"/>
          <w:szCs w:val="28"/>
        </w:rPr>
        <w:t>А.</w:t>
      </w:r>
      <w:r w:rsidR="00974B50">
        <w:rPr>
          <w:rFonts w:ascii="Times New Roman" w:hAnsi="Times New Roman" w:cs="Times New Roman"/>
          <w:sz w:val="28"/>
          <w:szCs w:val="28"/>
        </w:rPr>
        <w:t>Сырыгин</w:t>
      </w:r>
      <w:proofErr w:type="spellEnd"/>
    </w:p>
    <w:sectPr w:rsidR="00A8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86" w:rsidRDefault="009E3786" w:rsidP="00A866CE">
      <w:pPr>
        <w:spacing w:after="0" w:line="240" w:lineRule="auto"/>
      </w:pPr>
      <w:r>
        <w:separator/>
      </w:r>
    </w:p>
  </w:endnote>
  <w:endnote w:type="continuationSeparator" w:id="0">
    <w:p w:rsidR="009E3786" w:rsidRDefault="009E3786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86" w:rsidRDefault="009E3786" w:rsidP="00A866CE">
      <w:pPr>
        <w:spacing w:after="0" w:line="240" w:lineRule="auto"/>
      </w:pPr>
      <w:r>
        <w:separator/>
      </w:r>
    </w:p>
  </w:footnote>
  <w:footnote w:type="continuationSeparator" w:id="0">
    <w:p w:rsidR="009E3786" w:rsidRDefault="009E3786" w:rsidP="00A866CE">
      <w:pPr>
        <w:spacing w:after="0" w:line="240" w:lineRule="auto"/>
      </w:pPr>
      <w:r>
        <w:continuationSeparator/>
      </w:r>
    </w:p>
  </w:footnote>
  <w:footnote w:id="1"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  <w:szCs w:val="20"/>
        </w:rPr>
        <w:t>Оценка состояния работы по организации воинского учета в военном комиссариате субъекта Российской Федерации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0 баллов – показатель не соответствует требованиям нормативных документов</w:t>
      </w:r>
    </w:p>
    <w:p w:rsidR="00A866CE" w:rsidRDefault="00A866CE" w:rsidP="00A866CE">
      <w:pPr>
        <w:pStyle w:val="af1"/>
        <w:ind w:firstLine="720"/>
      </w:pPr>
      <w:r>
        <w:rPr>
          <w:b/>
        </w:rPr>
        <w:t>Максимальная сумма – 60 баллов.</w:t>
      </w:r>
    </w:p>
  </w:footnote>
  <w:footnote w:id="2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«отлично»</w:t>
      </w:r>
      <w:r>
        <w:t xml:space="preserve">  за полноту и достоверность документов воинского учета; </w:t>
      </w:r>
    </w:p>
    <w:p w:rsidR="00A866CE" w:rsidRDefault="00A866CE" w:rsidP="00A866CE">
      <w:pPr>
        <w:pStyle w:val="af1"/>
        <w:ind w:firstLine="900"/>
      </w:pPr>
      <w:r>
        <w:t xml:space="preserve">1 балл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«хорошо»</w:t>
      </w:r>
      <w:r>
        <w:t xml:space="preserve">  за полноту и достоверность документов воинского учета;</w:t>
      </w:r>
    </w:p>
    <w:p w:rsidR="00A866CE" w:rsidRDefault="00A866CE" w:rsidP="00A866CE">
      <w:pPr>
        <w:pStyle w:val="af1"/>
        <w:ind w:firstLine="900"/>
      </w:pPr>
      <w:r>
        <w:t xml:space="preserve">0 баллов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«удовлетворительно»</w:t>
      </w:r>
      <w:r>
        <w:t xml:space="preserve">  за полноту и достоверность документов воинского учета.</w:t>
      </w:r>
    </w:p>
    <w:p w:rsidR="00A866CE" w:rsidRDefault="00A866CE" w:rsidP="00A866CE">
      <w:pPr>
        <w:pStyle w:val="af1"/>
        <w:ind w:firstLine="900"/>
      </w:pPr>
    </w:p>
  </w:footnote>
  <w:footnote w:id="3">
    <w:p w:rsidR="00A866CE" w:rsidRDefault="00A866CE" w:rsidP="00A866CE">
      <w:pPr>
        <w:ind w:firstLine="900"/>
        <w:jc w:val="both"/>
      </w:pPr>
      <w:r>
        <w:rPr>
          <w:rStyle w:val="af0"/>
        </w:rPr>
        <w:sym w:font="Symbol" w:char="F02A"/>
      </w:r>
      <w:r>
        <w:t> оценка состояния работы по осуществлению воинского учета в военном комиссариате муниципального образования проводится по 3-х балльной системе:</w:t>
      </w:r>
    </w:p>
    <w:p w:rsidR="00A866CE" w:rsidRDefault="00A866CE" w:rsidP="00A866CE">
      <w:pPr>
        <w:ind w:firstLine="900"/>
        <w:jc w:val="both"/>
      </w:pPr>
      <w: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900"/>
        <w:jc w:val="both"/>
      </w:pPr>
      <w: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900"/>
        <w:jc w:val="both"/>
      </w:pPr>
      <w:r>
        <w:t>0 баллов – показатель не соответствует требованиям нормативных документов</w:t>
      </w:r>
    </w:p>
    <w:p w:rsidR="00A866CE" w:rsidRDefault="00A866CE" w:rsidP="00A866CE">
      <w:pPr>
        <w:ind w:firstLine="900"/>
        <w:jc w:val="both"/>
        <w:rPr>
          <w:b/>
        </w:rPr>
      </w:pPr>
      <w:r>
        <w:rPr>
          <w:b/>
        </w:rPr>
        <w:t>Максимальная сумма – 96 баллов.</w:t>
      </w:r>
    </w:p>
    <w:p w:rsidR="00A866CE" w:rsidRDefault="00A866CE" w:rsidP="00A866CE">
      <w:pPr>
        <w:pStyle w:val="af1"/>
      </w:pPr>
    </w:p>
  </w:footnote>
  <w:footnote w:id="4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«отлично»</w:t>
      </w:r>
      <w:r>
        <w:t xml:space="preserve">  за полноту и достоверность документов воинского учета; </w:t>
      </w:r>
    </w:p>
    <w:p w:rsidR="00A866CE" w:rsidRDefault="00A866CE" w:rsidP="00A866CE">
      <w:pPr>
        <w:pStyle w:val="af1"/>
        <w:ind w:firstLine="900"/>
      </w:pPr>
      <w:r>
        <w:t xml:space="preserve">1 балл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«хорошо»</w:t>
      </w:r>
      <w:r>
        <w:t xml:space="preserve">  за полноту и достоверность документов воинского учета;</w:t>
      </w:r>
    </w:p>
    <w:p w:rsidR="00A866CE" w:rsidRDefault="00A866CE" w:rsidP="00A866CE">
      <w:pPr>
        <w:pStyle w:val="af1"/>
        <w:ind w:firstLine="900"/>
      </w:pPr>
      <w:r>
        <w:t xml:space="preserve">0 баллов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«удовлетворительно»</w:t>
      </w:r>
      <w:r>
        <w:t xml:space="preserve">  за полноту и достоверность документов воинского учета.</w:t>
      </w:r>
    </w:p>
    <w:p w:rsidR="00A866CE" w:rsidRDefault="00A866CE" w:rsidP="00A866CE">
      <w:pPr>
        <w:pStyle w:val="af1"/>
        <w:ind w:firstLine="900"/>
      </w:pPr>
    </w:p>
  </w:footnote>
  <w:footnote w:id="5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</w:rPr>
        <w:sym w:font="Symbol" w:char="F02A"/>
      </w:r>
      <w:r>
        <w:rPr>
          <w:sz w:val="20"/>
        </w:rPr>
        <w:t> Оценка состояния работы по осуществлению первичного воинского учёта органом местного самоуправления,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0 баллов – показатель не соответствует требованиям нормативных документов.</w:t>
      </w:r>
    </w:p>
    <w:p w:rsidR="00A866CE" w:rsidRDefault="00A866CE" w:rsidP="00A866CE">
      <w:pPr>
        <w:pStyle w:val="af1"/>
        <w:ind w:firstLine="720"/>
        <w:rPr>
          <w:b/>
        </w:rPr>
      </w:pPr>
      <w:r>
        <w:rPr>
          <w:b/>
        </w:rPr>
        <w:t>Максимальная сумма – 94 балла.</w:t>
      </w:r>
    </w:p>
    <w:p w:rsidR="00A866CE" w:rsidRDefault="00A866CE" w:rsidP="00A866CE">
      <w:pPr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конкурсу допускаются органы местного самоуправления, получившие при проверках качества осуществления воинского учета призывников и граждан, пребывающих в запасе, оценки </w:t>
      </w:r>
      <w:r>
        <w:rPr>
          <w:b/>
          <w:bCs/>
          <w:color w:val="000000"/>
          <w:sz w:val="20"/>
        </w:rPr>
        <w:t>«отлично»</w:t>
      </w:r>
      <w:r>
        <w:rPr>
          <w:color w:val="000000"/>
          <w:sz w:val="20"/>
        </w:rPr>
        <w:t xml:space="preserve"> или </w:t>
      </w:r>
      <w:r>
        <w:rPr>
          <w:b/>
          <w:bCs/>
          <w:color w:val="000000"/>
          <w:sz w:val="20"/>
        </w:rPr>
        <w:t>«хорошо»</w:t>
      </w:r>
      <w:r>
        <w:rPr>
          <w:color w:val="000000"/>
          <w:sz w:val="20"/>
        </w:rPr>
        <w:t>.</w:t>
      </w:r>
    </w:p>
    <w:p w:rsidR="00A866CE" w:rsidRDefault="00A866CE" w:rsidP="00A866CE">
      <w:pPr>
        <w:pStyle w:val="af1"/>
        <w:ind w:firstLine="720"/>
      </w:pPr>
    </w:p>
  </w:footnote>
  <w:footnote w:id="6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rPr>
          <w:rStyle w:val="af0"/>
        </w:rPr>
        <w:sym w:font="Symbol" w:char="F02A"/>
      </w:r>
      <w:r>
        <w:t> Для органов местного самоуправления, имеющих одного работника, выполняющего обязанности по совместительству, или одного освобожденного работника, - </w:t>
      </w:r>
      <w:r>
        <w:rPr>
          <w:color w:val="000000"/>
        </w:rPr>
        <w:t>Постановление (решение) руководителя органа местного самоуправления об утверждении Положения «Об организации и осуществлении первичного воинского учета граждан».</w:t>
      </w:r>
    </w:p>
  </w:footnote>
  <w:footnote w:id="7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t xml:space="preserve"> При производстве отметок о постановке гражданина на воинский учет  и снятии </w:t>
      </w:r>
      <w:proofErr w:type="gramStart"/>
      <w:r>
        <w:t>с воинского учета в военном билете обязательно наличие письменного уведомления военного комиссара муниципального образования о предоставлении права производства отметок о приеме на воинский  учет</w:t>
      </w:r>
      <w:proofErr w:type="gramEnd"/>
      <w:r>
        <w:t xml:space="preserve"> и снятии с воинского учета </w:t>
      </w:r>
    </w:p>
  </w:footnote>
  <w:footnote w:id="8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rPr>
          <w:rStyle w:val="af0"/>
        </w:rPr>
        <w:sym w:font="Symbol" w:char="F02A"/>
      </w:r>
      <w:r>
        <w:t> Осуществляется только при наличии соответствующего письменного указания военного комиссара муниципального образования по месту нахождения органа местного самоуправления.</w:t>
      </w:r>
    </w:p>
  </w:footnote>
  <w:footnote w:id="9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</w:rPr>
        <w:t>2 балла – дополнительные выплаты производятся;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дополнительные выплаты производятся не в полном объеме или периодически;</w:t>
      </w:r>
    </w:p>
    <w:p w:rsidR="00A866CE" w:rsidRDefault="00A866CE" w:rsidP="00A866CE">
      <w:pPr>
        <w:ind w:firstLine="72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дополнительные выплаты не производятся</w:t>
      </w:r>
      <w:r>
        <w:t>.</w:t>
      </w:r>
    </w:p>
    <w:p w:rsidR="00A866CE" w:rsidRDefault="00A866CE" w:rsidP="00A866CE">
      <w:pPr>
        <w:pStyle w:val="af1"/>
        <w:ind w:firstLine="720"/>
      </w:pPr>
    </w:p>
  </w:footnote>
  <w:footnote w:id="10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  <w:szCs w:val="20"/>
        </w:rPr>
        <w:sym w:font="Symbol" w:char="F02A"/>
      </w:r>
      <w:r>
        <w:rPr>
          <w:rStyle w:val="af0"/>
          <w:sz w:val="20"/>
          <w:szCs w:val="20"/>
        </w:rPr>
        <w:sym w:font="Symbol" w:char="F02A"/>
      </w:r>
      <w:r>
        <w:t> </w:t>
      </w:r>
      <w:r>
        <w:rPr>
          <w:sz w:val="20"/>
        </w:rPr>
        <w:t>2 балла – не менее 5 % от численности граждан, состоящих на воинском учете по состоянию на 31 декабря предшествующего года;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не менее 2 % от численности граждан, состоящих на воинском учете по состоянию на 31 декабря предшествующего года;</w:t>
      </w:r>
    </w:p>
    <w:p w:rsidR="00A866CE" w:rsidRDefault="00A866CE" w:rsidP="00A866CE">
      <w:pPr>
        <w:ind w:firstLine="72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неснижаемый запас не создан</w:t>
      </w:r>
      <w:r>
        <w:t>.</w:t>
      </w:r>
    </w:p>
  </w:footnote>
  <w:footnote w:id="11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 органа местного самоуправления оценки «отлично»  за полноту и достоверность документов воинского учета </w:t>
      </w:r>
    </w:p>
    <w:p w:rsidR="00A866CE" w:rsidRDefault="00A866CE" w:rsidP="00A866CE">
      <w:pPr>
        <w:pStyle w:val="af1"/>
        <w:ind w:firstLine="900"/>
      </w:pPr>
      <w:r>
        <w:t>1 балл – при выставлении в ходе проверки  органа местного самоуправления оценки «хорошо»  за полноту и достоверность документов воинского учета</w:t>
      </w:r>
    </w:p>
  </w:footnote>
  <w:footnote w:id="12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</w:rPr>
        <w:sym w:font="Symbol" w:char="F02A"/>
      </w:r>
      <w:r>
        <w:rPr>
          <w:sz w:val="20"/>
        </w:rPr>
        <w:t> Оценка состояния работы по осуществлению воинского учёта организацией,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0 баллов – показатель не соответствует требованиям нормативных документов.</w:t>
      </w:r>
    </w:p>
    <w:p w:rsidR="00A866CE" w:rsidRDefault="00A866CE" w:rsidP="00A866CE">
      <w:pPr>
        <w:pStyle w:val="af1"/>
        <w:ind w:firstLine="720"/>
        <w:rPr>
          <w:b/>
        </w:rPr>
      </w:pPr>
      <w:r>
        <w:rPr>
          <w:b/>
        </w:rPr>
        <w:t>Максимальная сумма – 70 баллов.</w:t>
      </w:r>
    </w:p>
    <w:p w:rsidR="00A866CE" w:rsidRDefault="00A866CE" w:rsidP="00A866CE">
      <w:pPr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конкурсу допускаются организации, получившие при проверках качества осуществления воинского учета призывников и граждан, пребывающих в запасе, оценки </w:t>
      </w:r>
      <w:r>
        <w:rPr>
          <w:b/>
          <w:bCs/>
          <w:color w:val="000000"/>
          <w:sz w:val="20"/>
        </w:rPr>
        <w:t>«отлично»</w:t>
      </w:r>
      <w:r>
        <w:rPr>
          <w:color w:val="000000"/>
          <w:sz w:val="20"/>
        </w:rPr>
        <w:t xml:space="preserve"> или </w:t>
      </w:r>
      <w:r>
        <w:rPr>
          <w:b/>
          <w:bCs/>
          <w:color w:val="000000"/>
          <w:sz w:val="20"/>
        </w:rPr>
        <w:t>«хорошо»</w:t>
      </w:r>
      <w:r>
        <w:rPr>
          <w:color w:val="000000"/>
          <w:sz w:val="20"/>
        </w:rPr>
        <w:t>.</w:t>
      </w:r>
    </w:p>
    <w:p w:rsidR="00A866CE" w:rsidRDefault="00A866CE" w:rsidP="00A866CE">
      <w:pPr>
        <w:pStyle w:val="af1"/>
        <w:ind w:firstLine="720"/>
      </w:pPr>
    </w:p>
  </w:footnote>
  <w:footnote w:id="13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t> </w:t>
      </w:r>
      <w:proofErr w:type="gramStart"/>
      <w:r>
        <w:t xml:space="preserve">Руководители образовательных учреждений приложением к списку граждан, подлежащих первоначальной постановке на воинский учет, представляют в военный комиссариат заполненные анкеты в соответствии с приложением № 4 к Инструкции по подготовке и проведению мероприятий, связанных с призывом на военную службу граждан Российской Федерации, не пребывающих в запасе, утвержденной приказом Министра обороны Российской Федерации от 2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</w:t>
      </w:r>
      <w:r>
        <w:br/>
        <w:t>№ 400.</w:t>
      </w:r>
      <w:proofErr w:type="gramEnd"/>
    </w:p>
  </w:footnote>
  <w:footnote w:id="14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</w:rPr>
        <w:t>2 балла – дополнительные выплаты производятся;</w:t>
      </w:r>
    </w:p>
    <w:p w:rsidR="00A866CE" w:rsidRDefault="00A866CE" w:rsidP="00A866CE">
      <w:pPr>
        <w:ind w:firstLine="90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дополнительные выплаты производятся не в полном объеме или периодически;</w:t>
      </w:r>
    </w:p>
    <w:p w:rsidR="00A866CE" w:rsidRDefault="00A866CE" w:rsidP="00A866CE">
      <w:pPr>
        <w:ind w:firstLine="90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дополнительные выплаты не производятся</w:t>
      </w:r>
      <w:r>
        <w:t>.</w:t>
      </w:r>
    </w:p>
    <w:p w:rsidR="00A866CE" w:rsidRDefault="00A866CE" w:rsidP="00A866CE">
      <w:pPr>
        <w:pStyle w:val="af1"/>
        <w:ind w:firstLine="720"/>
      </w:pPr>
    </w:p>
  </w:footnote>
  <w:footnote w:id="15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организации оценки </w:t>
      </w:r>
      <w:r>
        <w:rPr>
          <w:b/>
          <w:bCs/>
        </w:rPr>
        <w:t>«отлично»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A866CE" w:rsidRDefault="00A866CE" w:rsidP="00A866CE">
      <w:pPr>
        <w:pStyle w:val="af1"/>
        <w:ind w:firstLine="720"/>
      </w:pPr>
      <w:r>
        <w:t xml:space="preserve">1 балл – при выставлении в ходе проверки организации оценки </w:t>
      </w:r>
      <w:r>
        <w:rPr>
          <w:b/>
          <w:bCs/>
        </w:rPr>
        <w:t>«хорошо»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A866CE" w:rsidRDefault="00A866CE" w:rsidP="00A866CE">
      <w:pPr>
        <w:pStyle w:val="af1"/>
        <w:ind w:firstLine="90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B9" w:rsidRDefault="00A866CE" w:rsidP="00C40C9B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3A4AB9" w:rsidRDefault="00E5387F" w:rsidP="00274F6F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B9" w:rsidRDefault="00A866CE" w:rsidP="00C40C9B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E5387F">
      <w:rPr>
        <w:rStyle w:val="af6"/>
        <w:rFonts w:eastAsiaTheme="majorEastAsia"/>
        <w:noProof/>
      </w:rPr>
      <w:t>4</w:t>
    </w:r>
    <w:r>
      <w:rPr>
        <w:rStyle w:val="af6"/>
        <w:rFonts w:eastAsiaTheme="majorEastAsia"/>
      </w:rPr>
      <w:fldChar w:fldCharType="end"/>
    </w:r>
  </w:p>
  <w:p w:rsidR="003A4AB9" w:rsidRDefault="00E5387F" w:rsidP="00274F6F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FA3"/>
    <w:multiLevelType w:val="singleLevel"/>
    <w:tmpl w:val="51B61F6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4CD6204"/>
    <w:multiLevelType w:val="hybridMultilevel"/>
    <w:tmpl w:val="60704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E66B4"/>
    <w:multiLevelType w:val="multilevel"/>
    <w:tmpl w:val="CAC8E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AF0EF5"/>
    <w:multiLevelType w:val="hybridMultilevel"/>
    <w:tmpl w:val="3BD0E8B0"/>
    <w:lvl w:ilvl="0" w:tplc="E7761E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17495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5">
    <w:nsid w:val="1CEE7C7E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6">
    <w:nsid w:val="3ECF5031"/>
    <w:multiLevelType w:val="hybridMultilevel"/>
    <w:tmpl w:val="578E5E32"/>
    <w:lvl w:ilvl="0" w:tplc="6C9CF5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5A4D24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8">
    <w:nsid w:val="470715BF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9">
    <w:nsid w:val="5DD62351"/>
    <w:multiLevelType w:val="singleLevel"/>
    <w:tmpl w:val="7BD62E76"/>
    <w:lvl w:ilvl="0">
      <w:start w:val="19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>
    <w:nsid w:val="5E9B2A31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1">
    <w:nsid w:val="66424280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2">
    <w:nsid w:val="6F6A148E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3">
    <w:nsid w:val="71E950BB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4">
    <w:nsid w:val="765F6C46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5">
    <w:nsid w:val="7B053075"/>
    <w:multiLevelType w:val="hybridMultilevel"/>
    <w:tmpl w:val="1246476E"/>
    <w:lvl w:ilvl="0" w:tplc="D4A09AE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>
    <w:nsid w:val="7EBC4E66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49"/>
    <w:rsid w:val="00035A71"/>
    <w:rsid w:val="000540F1"/>
    <w:rsid w:val="0014258F"/>
    <w:rsid w:val="001668F2"/>
    <w:rsid w:val="001D5AD8"/>
    <w:rsid w:val="001E489F"/>
    <w:rsid w:val="00217A59"/>
    <w:rsid w:val="00217B09"/>
    <w:rsid w:val="002F759B"/>
    <w:rsid w:val="00346B72"/>
    <w:rsid w:val="00381890"/>
    <w:rsid w:val="003D3868"/>
    <w:rsid w:val="003F628B"/>
    <w:rsid w:val="00401C5D"/>
    <w:rsid w:val="004161F9"/>
    <w:rsid w:val="004241FF"/>
    <w:rsid w:val="00424BED"/>
    <w:rsid w:val="00456946"/>
    <w:rsid w:val="004937F5"/>
    <w:rsid w:val="004A3FC7"/>
    <w:rsid w:val="004F50EE"/>
    <w:rsid w:val="00505796"/>
    <w:rsid w:val="00572B9B"/>
    <w:rsid w:val="005A30A4"/>
    <w:rsid w:val="005B64CD"/>
    <w:rsid w:val="005C6522"/>
    <w:rsid w:val="005D7FD2"/>
    <w:rsid w:val="00622602"/>
    <w:rsid w:val="00695EAB"/>
    <w:rsid w:val="006D1B46"/>
    <w:rsid w:val="00726DDE"/>
    <w:rsid w:val="00765121"/>
    <w:rsid w:val="007C7C28"/>
    <w:rsid w:val="00825EF1"/>
    <w:rsid w:val="0086014E"/>
    <w:rsid w:val="008E6565"/>
    <w:rsid w:val="00971DA2"/>
    <w:rsid w:val="00974B50"/>
    <w:rsid w:val="009C347E"/>
    <w:rsid w:val="009D30C8"/>
    <w:rsid w:val="009D5D54"/>
    <w:rsid w:val="009E3786"/>
    <w:rsid w:val="009E6BAD"/>
    <w:rsid w:val="00A010C2"/>
    <w:rsid w:val="00A04AFB"/>
    <w:rsid w:val="00A158D4"/>
    <w:rsid w:val="00A33BEA"/>
    <w:rsid w:val="00A866CE"/>
    <w:rsid w:val="00AD062B"/>
    <w:rsid w:val="00B1185D"/>
    <w:rsid w:val="00B13295"/>
    <w:rsid w:val="00B30CD7"/>
    <w:rsid w:val="00B3153F"/>
    <w:rsid w:val="00B46E71"/>
    <w:rsid w:val="00BA2049"/>
    <w:rsid w:val="00C113F6"/>
    <w:rsid w:val="00D863E0"/>
    <w:rsid w:val="00DB3522"/>
    <w:rsid w:val="00DD223E"/>
    <w:rsid w:val="00DE1CE3"/>
    <w:rsid w:val="00E305A5"/>
    <w:rsid w:val="00E5387F"/>
    <w:rsid w:val="00ED18C1"/>
    <w:rsid w:val="00F41E5B"/>
    <w:rsid w:val="00F7296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6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66CE"/>
    <w:pPr>
      <w:keepNext/>
      <w:spacing w:after="0" w:line="240" w:lineRule="auto"/>
      <w:ind w:firstLine="152"/>
      <w:outlineLvl w:val="3"/>
    </w:pPr>
    <w:rPr>
      <w:rFonts w:ascii="Times New Roman" w:hAnsi="Times New Roman" w:cs="Times New Roman"/>
      <w:b/>
      <w:bCs/>
      <w:color w:val="000000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A86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6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6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866CE"/>
    <w:pPr>
      <w:keepNext/>
      <w:spacing w:after="0" w:line="240" w:lineRule="auto"/>
      <w:ind w:left="360" w:hanging="360"/>
      <w:jc w:val="center"/>
      <w:outlineLvl w:val="7"/>
    </w:pPr>
    <w:rPr>
      <w:rFonts w:ascii="Times New Roman" w:hAnsi="Times New Roman" w:cs="Times New Roman"/>
      <w:b/>
      <w:bCs/>
      <w:color w:val="000000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A86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866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A866C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A866C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A866C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rsid w:val="00A86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66CE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66CE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866CE"/>
  </w:style>
  <w:style w:type="paragraph" w:styleId="aa">
    <w:name w:val="Body Text"/>
    <w:basedOn w:val="a"/>
    <w:link w:val="ab"/>
    <w:rsid w:val="00A866C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A866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A866C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866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866CE"/>
    <w:pPr>
      <w:widowControl w:val="0"/>
      <w:spacing w:after="120" w:line="480" w:lineRule="auto"/>
      <w:ind w:left="283" w:firstLine="840"/>
      <w:jc w:val="both"/>
    </w:pPr>
    <w:rPr>
      <w:rFonts w:ascii="Times New Roman" w:hAnsi="Times New Roman" w:cs="Times New Roman"/>
      <w:snapToGrid w:val="0"/>
      <w:sz w:val="18"/>
      <w:szCs w:val="20"/>
    </w:rPr>
  </w:style>
  <w:style w:type="character" w:customStyle="1" w:styleId="22">
    <w:name w:val="Основной текст с отступом 2 Знак"/>
    <w:basedOn w:val="a0"/>
    <w:link w:val="21"/>
    <w:rsid w:val="00A866CE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e">
    <w:name w:val="Body Text Indent"/>
    <w:basedOn w:val="a"/>
    <w:link w:val="af"/>
    <w:rsid w:val="00A866C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86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rsid w:val="00A866CE"/>
    <w:rPr>
      <w:vertAlign w:val="superscript"/>
    </w:rPr>
  </w:style>
  <w:style w:type="paragraph" w:styleId="af1">
    <w:name w:val="footnote text"/>
    <w:basedOn w:val="a"/>
    <w:link w:val="af2"/>
    <w:semiHidden/>
    <w:rsid w:val="00A866C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86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866CE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86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A866CE"/>
    <w:pPr>
      <w:widowControl w:val="0"/>
      <w:spacing w:before="160" w:after="0" w:line="240" w:lineRule="auto"/>
      <w:ind w:left="800" w:right="600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Block Text"/>
    <w:basedOn w:val="a"/>
    <w:rsid w:val="00A866CE"/>
    <w:pPr>
      <w:spacing w:after="0" w:line="240" w:lineRule="auto"/>
      <w:ind w:left="-108" w:right="-108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A8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A866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A86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A8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D9F01-78D7-4CFA-BBEF-1C1474FE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37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2017-11-02T04:22:00Z</cp:lastPrinted>
  <dcterms:created xsi:type="dcterms:W3CDTF">2015-10-30T02:19:00Z</dcterms:created>
  <dcterms:modified xsi:type="dcterms:W3CDTF">2019-11-21T02:14:00Z</dcterms:modified>
</cp:coreProperties>
</file>