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Default="003B60A2" w:rsidP="00DF0B7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712195" w:rsidRDefault="00EE231F" w:rsidP="00712195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29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3F007C">
        <w:rPr>
          <w:color w:val="000000"/>
          <w:spacing w:val="-15"/>
          <w:sz w:val="28"/>
          <w:szCs w:val="28"/>
        </w:rPr>
        <w:t>1</w:t>
      </w:r>
      <w:r w:rsidR="00FF7E59">
        <w:rPr>
          <w:color w:val="000000"/>
          <w:spacing w:val="-15"/>
          <w:sz w:val="28"/>
          <w:szCs w:val="28"/>
        </w:rPr>
        <w:t>2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981669">
        <w:rPr>
          <w:color w:val="000000"/>
          <w:spacing w:val="-15"/>
          <w:sz w:val="28"/>
          <w:szCs w:val="28"/>
        </w:rPr>
        <w:t>20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767-</w:t>
      </w:r>
      <w:r w:rsidR="003F007C">
        <w:rPr>
          <w:color w:val="000000"/>
          <w:spacing w:val="-15"/>
          <w:sz w:val="28"/>
          <w:szCs w:val="28"/>
        </w:rPr>
        <w:t>п</w:t>
      </w:r>
    </w:p>
    <w:p w:rsidR="003F007C" w:rsidRPr="0099249E" w:rsidRDefault="003F007C" w:rsidP="00712195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346B64" w:rsidRPr="00495E20" w:rsidRDefault="00346B64" w:rsidP="00346B64">
            <w:pPr>
              <w:ind w:firstLine="708"/>
              <w:jc w:val="both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346B64" w:rsidRDefault="00346B64" w:rsidP="00346B64"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      </w:r>
          </w:p>
          <w:p w:rsidR="00346B64" w:rsidRDefault="00346B64" w:rsidP="00346B64">
            <w:pPr>
              <w:pStyle w:val="11"/>
              <w:tabs>
                <w:tab w:val="left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администрации района изложить в новой редакции согласно приложению к настоящему постановлению. </w:t>
            </w:r>
          </w:p>
          <w:p w:rsidR="00346B64" w:rsidRPr="00495E20" w:rsidRDefault="00346B64" w:rsidP="00346B64">
            <w:pPr>
              <w:pStyle w:val="11"/>
              <w:tabs>
                <w:tab w:val="left" w:pos="0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95E20">
              <w:rPr>
                <w:sz w:val="28"/>
                <w:szCs w:val="28"/>
              </w:rPr>
              <w:t>.</w:t>
            </w:r>
            <w:proofErr w:type="gramStart"/>
            <w:r w:rsidRPr="00495E20">
              <w:rPr>
                <w:sz w:val="28"/>
                <w:szCs w:val="28"/>
              </w:rPr>
              <w:t>Контроль за</w:t>
            </w:r>
            <w:proofErr w:type="gramEnd"/>
            <w:r w:rsidRPr="00495E20">
              <w:rPr>
                <w:sz w:val="28"/>
                <w:szCs w:val="28"/>
              </w:rPr>
              <w:t xml:space="preserve"> выполнением постановления возложить на</w:t>
            </w:r>
            <w:r>
              <w:rPr>
                <w:sz w:val="28"/>
                <w:szCs w:val="28"/>
              </w:rPr>
              <w:t xml:space="preserve"> </w:t>
            </w:r>
            <w:r w:rsidRPr="00812AED">
              <w:rPr>
                <w:sz w:val="28"/>
                <w:szCs w:val="28"/>
              </w:rPr>
              <w:t xml:space="preserve">первого заместителя главы района, руководителя финансового управления администрации Идринского района </w:t>
            </w:r>
            <w:r>
              <w:rPr>
                <w:sz w:val="28"/>
                <w:szCs w:val="28"/>
              </w:rPr>
              <w:t>Н.П. Антипову</w:t>
            </w:r>
            <w:r w:rsidRPr="00495E20">
              <w:rPr>
                <w:sz w:val="28"/>
                <w:szCs w:val="28"/>
              </w:rPr>
              <w:t>.</w:t>
            </w:r>
          </w:p>
          <w:p w:rsidR="00346B64" w:rsidRPr="00633565" w:rsidRDefault="00346B64" w:rsidP="00346B64">
            <w:pPr>
              <w:pStyle w:val="11"/>
              <w:shd w:val="clear" w:color="auto" w:fill="FFFFFF"/>
              <w:tabs>
                <w:tab w:val="left" w:pos="1397"/>
              </w:tabs>
              <w:ind w:left="0" w:firstLine="568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</w:t>
            </w:r>
            <w:r w:rsidRPr="00495E20">
              <w:rPr>
                <w:color w:val="000000"/>
                <w:spacing w:val="-2"/>
                <w:sz w:val="28"/>
                <w:szCs w:val="28"/>
              </w:rPr>
              <w:t>.</w:t>
            </w:r>
            <w:r w:rsidRPr="00B9260B">
              <w:rPr>
                <w:color w:val="000000"/>
                <w:spacing w:val="-2"/>
                <w:sz w:val="28"/>
                <w:szCs w:val="28"/>
              </w:rPr>
              <w:t xml:space="preserve">Опубликовать постановление </w:t>
            </w:r>
            <w:r>
              <w:rPr>
                <w:color w:val="000000"/>
                <w:spacing w:val="-2"/>
                <w:sz w:val="28"/>
                <w:szCs w:val="28"/>
              </w:rPr>
              <w:t>на</w:t>
            </w:r>
            <w:r w:rsidRPr="00B9260B">
              <w:rPr>
                <w:color w:val="000000"/>
                <w:spacing w:val="-2"/>
                <w:sz w:val="28"/>
                <w:szCs w:val="28"/>
              </w:rPr>
              <w:t xml:space="preserve"> официальном сайте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муниципального образования </w:t>
            </w:r>
            <w:r w:rsidRPr="00B9260B">
              <w:rPr>
                <w:color w:val="000000"/>
                <w:spacing w:val="-2"/>
                <w:sz w:val="28"/>
                <w:szCs w:val="28"/>
              </w:rPr>
              <w:t xml:space="preserve">Идринский </w:t>
            </w:r>
            <w:r w:rsidRPr="00773323">
              <w:rPr>
                <w:spacing w:val="-2"/>
                <w:sz w:val="28"/>
                <w:szCs w:val="28"/>
              </w:rPr>
              <w:t>район (</w:t>
            </w:r>
            <w:hyperlink r:id="rId10" w:history="1">
              <w:r w:rsidRPr="004B115A">
                <w:rPr>
                  <w:rStyle w:val="a5"/>
                  <w:color w:val="000000" w:themeColor="text1"/>
                  <w:spacing w:val="-2"/>
                  <w:sz w:val="28"/>
                  <w:szCs w:val="28"/>
                  <w:u w:val="none"/>
                  <w:lang w:val="en-US"/>
                </w:rPr>
                <w:t>www</w:t>
              </w:r>
              <w:r w:rsidRPr="004B115A">
                <w:rPr>
                  <w:rStyle w:val="a5"/>
                  <w:color w:val="000000" w:themeColor="text1"/>
                  <w:spacing w:val="-2"/>
                  <w:sz w:val="28"/>
                  <w:szCs w:val="28"/>
                  <w:u w:val="none"/>
                </w:rPr>
                <w:t>.</w:t>
              </w:r>
              <w:proofErr w:type="spellStart"/>
              <w:r w:rsidRPr="004B115A">
                <w:rPr>
                  <w:rStyle w:val="a5"/>
                  <w:color w:val="000000" w:themeColor="text1"/>
                  <w:spacing w:val="-2"/>
                  <w:sz w:val="28"/>
                  <w:szCs w:val="28"/>
                  <w:u w:val="none"/>
                  <w:lang w:val="en-US"/>
                </w:rPr>
                <w:t>idra</w:t>
              </w:r>
              <w:proofErr w:type="spellEnd"/>
              <w:r w:rsidRPr="004B115A">
                <w:rPr>
                  <w:rStyle w:val="a5"/>
                  <w:color w:val="000000" w:themeColor="text1"/>
                  <w:spacing w:val="-2"/>
                  <w:sz w:val="28"/>
                  <w:szCs w:val="28"/>
                  <w:u w:val="none"/>
                </w:rPr>
                <w:t>-</w:t>
              </w:r>
              <w:r w:rsidRPr="004B115A">
                <w:rPr>
                  <w:rStyle w:val="a5"/>
                  <w:color w:val="000000" w:themeColor="text1"/>
                  <w:spacing w:val="-2"/>
                  <w:sz w:val="28"/>
                  <w:szCs w:val="28"/>
                  <w:u w:val="none"/>
                  <w:lang w:val="en-US"/>
                </w:rPr>
                <w:t>rayon</w:t>
              </w:r>
              <w:r w:rsidRPr="004B115A">
                <w:rPr>
                  <w:rStyle w:val="a5"/>
                  <w:color w:val="000000" w:themeColor="text1"/>
                  <w:spacing w:val="-2"/>
                  <w:sz w:val="28"/>
                  <w:szCs w:val="28"/>
                  <w:u w:val="none"/>
                </w:rPr>
                <w:t>.</w:t>
              </w:r>
              <w:proofErr w:type="spellStart"/>
              <w:r w:rsidRPr="004B115A">
                <w:rPr>
                  <w:rStyle w:val="a5"/>
                  <w:color w:val="000000" w:themeColor="text1"/>
                  <w:spacing w:val="-2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4B115A">
              <w:rPr>
                <w:color w:val="000000" w:themeColor="text1"/>
                <w:spacing w:val="-2"/>
                <w:sz w:val="28"/>
                <w:szCs w:val="28"/>
              </w:rPr>
              <w:t>)</w:t>
            </w:r>
          </w:p>
          <w:p w:rsidR="00346B64" w:rsidRDefault="00346B64" w:rsidP="00346B64">
            <w:pPr>
              <w:ind w:right="-126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  4</w:t>
            </w:r>
            <w:r w:rsidRPr="00495E20">
              <w:rPr>
                <w:color w:val="000000"/>
                <w:spacing w:val="-2"/>
                <w:sz w:val="28"/>
                <w:szCs w:val="28"/>
              </w:rPr>
              <w:t>.</w:t>
            </w:r>
            <w:r w:rsidRPr="00495E20">
              <w:rPr>
                <w:bCs/>
                <w:color w:val="000000"/>
                <w:spacing w:val="-2"/>
                <w:sz w:val="28"/>
                <w:szCs w:val="28"/>
              </w:rPr>
              <w:t xml:space="preserve">Постановление вступает в силу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со дня подписания.</w:t>
            </w:r>
          </w:p>
          <w:p w:rsidR="00346B64" w:rsidRDefault="00346B64" w:rsidP="00346B64">
            <w:pPr>
              <w:ind w:right="-126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346B64" w:rsidRDefault="00346B64" w:rsidP="00346B64">
            <w:pPr>
              <w:ind w:right="-126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346B64" w:rsidRDefault="00346B64" w:rsidP="00346B64">
            <w:pPr>
              <w:ind w:right="-126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346B64" w:rsidRDefault="00346B64" w:rsidP="00346B64">
            <w:pPr>
              <w:ind w:right="-126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346B64" w:rsidRDefault="00346B64" w:rsidP="00346B64">
            <w:pPr>
              <w:ind w:right="-126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346B64" w:rsidRDefault="00346B64" w:rsidP="00346B64">
            <w:pPr>
              <w:ind w:right="-126"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</w:p>
          <w:p w:rsidR="00346B64" w:rsidRDefault="00346B64" w:rsidP="00346B64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495E20">
              <w:rPr>
                <w:sz w:val="28"/>
                <w:szCs w:val="28"/>
              </w:rPr>
              <w:t xml:space="preserve"> </w:t>
            </w:r>
            <w:r w:rsidRPr="00BB508A">
              <w:rPr>
                <w:sz w:val="28"/>
                <w:szCs w:val="28"/>
              </w:rPr>
              <w:t xml:space="preserve">Глава района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BB508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</w:t>
            </w:r>
            <w:r w:rsidRPr="00BB508A"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BB508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Г</w:t>
            </w:r>
            <w:r w:rsidRPr="00BB50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Букатов</w:t>
            </w:r>
            <w:proofErr w:type="spellEnd"/>
          </w:p>
          <w:p w:rsidR="00B5005E" w:rsidRDefault="00B5005E" w:rsidP="00346B64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9F11DA" w:rsidTr="006B79BA">
        <w:tc>
          <w:tcPr>
            <w:tcW w:w="5637" w:type="dxa"/>
          </w:tcPr>
          <w:p w:rsidR="009F11DA" w:rsidRDefault="009F11DA" w:rsidP="006B79B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F11DA" w:rsidRPr="00077394" w:rsidRDefault="009F11DA" w:rsidP="006B79BA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9F11DA" w:rsidRPr="00077394" w:rsidRDefault="009F11DA" w:rsidP="006B79BA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9F11DA" w:rsidRPr="00077394" w:rsidRDefault="009F11DA" w:rsidP="006B79BA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</w:t>
            </w:r>
            <w:r w:rsidRPr="007A4DB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A4DB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7A4DB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767</w:t>
            </w:r>
            <w:r w:rsidRPr="007A4DB7">
              <w:rPr>
                <w:sz w:val="28"/>
                <w:szCs w:val="28"/>
              </w:rPr>
              <w:t>-п</w:t>
            </w:r>
          </w:p>
          <w:p w:rsidR="009F11DA" w:rsidRPr="00077394" w:rsidRDefault="009F11DA" w:rsidP="006B79BA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</w:p>
          <w:p w:rsidR="009F11DA" w:rsidRPr="00077394" w:rsidRDefault="009F11DA" w:rsidP="006B79BA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9F11DA" w:rsidRDefault="009F11DA" w:rsidP="00C97D1B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C97D1B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9F11DA" w:rsidRDefault="009F11DA" w:rsidP="009F11DA">
      <w:pPr>
        <w:rPr>
          <w:sz w:val="28"/>
          <w:szCs w:val="28"/>
        </w:rPr>
      </w:pPr>
    </w:p>
    <w:p w:rsidR="009F11DA" w:rsidRPr="000E0BB0" w:rsidRDefault="009F11DA" w:rsidP="009F11DA">
      <w:pPr>
        <w:jc w:val="right"/>
        <w:rPr>
          <w:b/>
        </w:rPr>
      </w:pPr>
    </w:p>
    <w:p w:rsidR="009F11DA" w:rsidRPr="000E0BB0" w:rsidRDefault="009F11DA" w:rsidP="009F11DA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9F11DA" w:rsidRPr="000E0BB0" w:rsidRDefault="009F11DA" w:rsidP="009F11DA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9F11DA" w:rsidRPr="000E0BB0" w:rsidRDefault="009F11DA" w:rsidP="009F11DA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9F11DA" w:rsidRPr="000E0BB0" w:rsidRDefault="009F11DA" w:rsidP="009F11DA">
      <w:pPr>
        <w:pStyle w:val="4"/>
        <w:rPr>
          <w:b w:val="0"/>
          <w:bCs/>
          <w:spacing w:val="0"/>
          <w:u w:val="none"/>
        </w:rPr>
      </w:pPr>
    </w:p>
    <w:p w:rsidR="009F11DA" w:rsidRDefault="009F11DA" w:rsidP="009F11DA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9F11DA" w:rsidRDefault="009F11DA" w:rsidP="009F11DA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9F11DA" w:rsidRDefault="009F11DA" w:rsidP="009F11DA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gramEnd"/>
            <w:r w:rsidRPr="003911DB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AF3DF2" w:rsidRDefault="009F11DA" w:rsidP="006B79BA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>
              <w:rPr>
                <w:sz w:val="28"/>
                <w:szCs w:val="28"/>
              </w:rPr>
              <w:t xml:space="preserve"> </w:t>
            </w:r>
            <w:r w:rsidRPr="00AE1F98">
              <w:rPr>
                <w:sz w:val="28"/>
                <w:szCs w:val="28"/>
              </w:rPr>
              <w:t xml:space="preserve">(в редакции от </w:t>
            </w:r>
            <w:r>
              <w:rPr>
                <w:sz w:val="28"/>
                <w:szCs w:val="28"/>
              </w:rPr>
              <w:t>16.03.2018 № 133-п)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AF3DF2" w:rsidRDefault="009F11DA" w:rsidP="006B79BA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F11DA" w:rsidRPr="00AF3DF2" w:rsidRDefault="009F11DA" w:rsidP="006B79BA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lastRenderedPageBreak/>
              <w:t>3. Управление муниципальным долгом Идринского района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AF3DF2" w:rsidRDefault="009F11DA" w:rsidP="006B79BA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9F11DA" w:rsidRPr="00AF3DF2" w:rsidRDefault="009F11DA" w:rsidP="006B79BA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 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9F11DA" w:rsidRPr="003911DB" w:rsidTr="006B79BA">
        <w:tc>
          <w:tcPr>
            <w:tcW w:w="675" w:type="dxa"/>
            <w:shd w:val="clear" w:color="auto" w:fill="auto"/>
          </w:tcPr>
          <w:p w:rsidR="009F11DA" w:rsidRPr="003911DB" w:rsidRDefault="009F11DA" w:rsidP="006B79BA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9F11DA" w:rsidRPr="003911DB" w:rsidRDefault="009F11DA" w:rsidP="006B79BA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3911D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528" w:type="dxa"/>
            <w:shd w:val="clear" w:color="auto" w:fill="auto"/>
          </w:tcPr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программы по годам составляет </w:t>
            </w:r>
            <w:r>
              <w:rPr>
                <w:sz w:val="28"/>
                <w:szCs w:val="28"/>
              </w:rPr>
              <w:t>504 943 063,76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96 477 926,00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краевого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408 465 137,76 </w:t>
            </w:r>
            <w:r w:rsidRPr="00EB0A59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lastRenderedPageBreak/>
              <w:t>Объем финансирования по годам реализации муниципальной программы: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>
              <w:rPr>
                <w:sz w:val="28"/>
                <w:szCs w:val="28"/>
              </w:rPr>
              <w:t xml:space="preserve">7 099 890,0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2018 год – 57</w:t>
            </w:r>
            <w:r>
              <w:rPr>
                <w:sz w:val="28"/>
                <w:szCs w:val="28"/>
              </w:rPr>
              <w:t xml:space="preserve"> 731 818,48 </w:t>
            </w:r>
            <w:r w:rsidRPr="00EB0A59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9F11DA" w:rsidRPr="00755F45" w:rsidRDefault="009F11DA" w:rsidP="009F11DA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67 526 770,37 </w:t>
            </w:r>
            <w:r w:rsidRPr="00755F45">
              <w:rPr>
                <w:sz w:val="28"/>
                <w:szCs w:val="28"/>
              </w:rPr>
              <w:t>рублей, в том числе:</w:t>
            </w:r>
          </w:p>
          <w:p w:rsidR="009F11DA" w:rsidRPr="00755F45" w:rsidRDefault="009F11DA" w:rsidP="009F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Pr="00755F45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9F11DA" w:rsidRPr="00755F45" w:rsidRDefault="009F11DA" w:rsidP="009F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52 220 800,37</w:t>
            </w:r>
            <w:r w:rsidRPr="00755F4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2020 год- </w:t>
            </w:r>
            <w:r>
              <w:rPr>
                <w:sz w:val="28"/>
                <w:szCs w:val="28"/>
              </w:rPr>
              <w:t>87 603 924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6 854 100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70 749 824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81 908 606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979 000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9F11DA" w:rsidRPr="00EB0A59" w:rsidRDefault="009F11DA" w:rsidP="009F11D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68 929 606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EB0A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81 625 942,0 </w:t>
            </w:r>
            <w:r w:rsidRPr="00EB0A59">
              <w:rPr>
                <w:sz w:val="28"/>
                <w:szCs w:val="28"/>
              </w:rPr>
              <w:t>рублей, в том числе:</w:t>
            </w:r>
          </w:p>
          <w:p w:rsidR="009F11DA" w:rsidRPr="00EB0A59" w:rsidRDefault="009F11DA" w:rsidP="009F11DA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979 000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9F11DA" w:rsidRPr="003911DB" w:rsidRDefault="009F11DA" w:rsidP="009F11DA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68 646 942</w:t>
            </w:r>
            <w:r w:rsidRPr="00EB0A59">
              <w:rPr>
                <w:sz w:val="28"/>
                <w:szCs w:val="28"/>
              </w:rPr>
              <w:t>,0 рублей –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11DA" w:rsidRPr="000E0BB0" w:rsidRDefault="009F11DA" w:rsidP="009F11DA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9F11DA" w:rsidRPr="00FA3B69" w:rsidRDefault="009F11DA" w:rsidP="009F11DA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9F11DA" w:rsidRPr="00FA3B69" w:rsidRDefault="009F11DA" w:rsidP="009F11DA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9F11DA" w:rsidRDefault="009F11DA" w:rsidP="009F11DA">
      <w:pPr>
        <w:ind w:left="-142" w:firstLine="1049"/>
        <w:jc w:val="both"/>
        <w:rPr>
          <w:sz w:val="28"/>
          <w:szCs w:val="28"/>
        </w:rPr>
      </w:pP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Бюджетная система Идринского района включает в себя районный </w:t>
      </w:r>
      <w:r w:rsidRPr="00FA3B69">
        <w:rPr>
          <w:sz w:val="28"/>
          <w:szCs w:val="28"/>
        </w:rPr>
        <w:lastRenderedPageBreak/>
        <w:t>бюджет и бюджеты муниципальных образований шестнадцати сельских поселений.</w:t>
      </w: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9F11DA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proofErr w:type="gramEnd"/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>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9F11DA" w:rsidRPr="00FA3B69" w:rsidRDefault="009F11DA" w:rsidP="009F11DA">
      <w:pPr>
        <w:ind w:firstLine="540"/>
        <w:jc w:val="both"/>
        <w:outlineLvl w:val="0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финансами, описание основных целей и задач программы, прогноз развития</w:t>
      </w:r>
    </w:p>
    <w:p w:rsidR="009F11DA" w:rsidRPr="00FA3B69" w:rsidRDefault="009F11DA" w:rsidP="009F11DA">
      <w:pPr>
        <w:ind w:firstLine="540"/>
        <w:jc w:val="both"/>
        <w:outlineLvl w:val="0"/>
        <w:rPr>
          <w:sz w:val="28"/>
          <w:szCs w:val="28"/>
        </w:rPr>
      </w:pPr>
    </w:p>
    <w:p w:rsidR="009F11DA" w:rsidRPr="00FA3B69" w:rsidRDefault="009F11DA" w:rsidP="009F11D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9F11DA" w:rsidRPr="00FA3B69" w:rsidRDefault="009F11DA" w:rsidP="009F11DA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9F11DA" w:rsidRPr="00FA3B69" w:rsidRDefault="009F11DA" w:rsidP="009F11DA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9F11DA" w:rsidRPr="00FA3B69" w:rsidRDefault="009F11DA" w:rsidP="009F11DA">
      <w:pPr>
        <w:ind w:firstLine="540"/>
        <w:jc w:val="both"/>
        <w:outlineLvl w:val="0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A3B69">
        <w:rPr>
          <w:sz w:val="28"/>
          <w:szCs w:val="28"/>
        </w:rPr>
        <w:t xml:space="preserve">. </w:t>
      </w:r>
      <w:r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>
        <w:rPr>
          <w:sz w:val="28"/>
          <w:szCs w:val="28"/>
        </w:rPr>
        <w:t>сфере управления 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</w:t>
      </w:r>
      <w:r>
        <w:rPr>
          <w:sz w:val="28"/>
          <w:szCs w:val="28"/>
        </w:rPr>
        <w:lastRenderedPageBreak/>
        <w:t xml:space="preserve">обеспечить достижение следующих </w:t>
      </w:r>
      <w:r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Pr="00FA3B69">
        <w:rPr>
          <w:sz w:val="28"/>
          <w:szCs w:val="28"/>
        </w:rPr>
        <w:t>: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9F11DA" w:rsidRPr="00FA3B69" w:rsidRDefault="009F11DA" w:rsidP="009F11D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9F11DA" w:rsidRPr="00FA3B69" w:rsidRDefault="009F11DA" w:rsidP="009F11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9F11DA" w:rsidRPr="00FA3B69" w:rsidRDefault="009F11DA" w:rsidP="009F11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9F11DA" w:rsidRPr="00FA3B69" w:rsidRDefault="009F11DA" w:rsidP="009F11DA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9F11DA" w:rsidRPr="00FA3B69" w:rsidRDefault="009F11DA" w:rsidP="009F11DA">
      <w:pPr>
        <w:ind w:firstLine="540"/>
        <w:jc w:val="center"/>
        <w:rPr>
          <w:sz w:val="28"/>
          <w:szCs w:val="28"/>
        </w:rPr>
      </w:pPr>
    </w:p>
    <w:p w:rsidR="009F11DA" w:rsidRDefault="009F11DA" w:rsidP="009F11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>
        <w:rPr>
          <w:sz w:val="28"/>
          <w:szCs w:val="28"/>
        </w:rPr>
        <w:t>№3 и №4</w:t>
      </w:r>
      <w:r w:rsidRPr="00FA3B69">
        <w:rPr>
          <w:sz w:val="28"/>
          <w:szCs w:val="28"/>
        </w:rPr>
        <w:t xml:space="preserve"> к муниципальной программе.</w:t>
      </w:r>
    </w:p>
    <w:p w:rsidR="009F11DA" w:rsidRPr="00FA3B69" w:rsidRDefault="009F11DA" w:rsidP="009F11DA">
      <w:pPr>
        <w:ind w:firstLine="540"/>
        <w:jc w:val="center"/>
        <w:rPr>
          <w:sz w:val="28"/>
          <w:szCs w:val="28"/>
        </w:rPr>
      </w:pPr>
    </w:p>
    <w:p w:rsidR="009F11DA" w:rsidRDefault="009F11DA" w:rsidP="009F11DA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Основные меры </w:t>
      </w:r>
      <w:r w:rsidRPr="001448CC">
        <w:rPr>
          <w:sz w:val="28"/>
          <w:szCs w:val="28"/>
        </w:rPr>
        <w:t>правового регулирования в сфере</w:t>
      </w:r>
      <w:r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9F11DA" w:rsidRDefault="009F11DA" w:rsidP="009F11DA">
      <w:pPr>
        <w:ind w:firstLine="540"/>
        <w:jc w:val="center"/>
        <w:rPr>
          <w:sz w:val="28"/>
          <w:szCs w:val="28"/>
        </w:rPr>
      </w:pPr>
    </w:p>
    <w:p w:rsidR="009F11DA" w:rsidRDefault="009F11DA" w:rsidP="009F11D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дополнительных мер правового регулирования в сфере управления муниципальными финансами, направленных на достижение цели и (или) задач муниципальной программы, не требуется.</w:t>
      </w:r>
    </w:p>
    <w:p w:rsidR="009F11DA" w:rsidRDefault="009F11DA" w:rsidP="009F11DA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9F11DA" w:rsidRDefault="009F11DA" w:rsidP="009F11DA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9F11DA" w:rsidRDefault="009F11DA" w:rsidP="009F11DA">
      <w:pPr>
        <w:widowControl/>
        <w:ind w:firstLine="540"/>
        <w:jc w:val="both"/>
        <w:rPr>
          <w:sz w:val="28"/>
          <w:szCs w:val="28"/>
        </w:rPr>
      </w:pPr>
    </w:p>
    <w:p w:rsidR="009F11DA" w:rsidRDefault="009F11DA" w:rsidP="009F11D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муниципальной собственности Идринского района.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</w:p>
    <w:p w:rsidR="009F11DA" w:rsidRDefault="009F11DA" w:rsidP="009F11D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9F11DA" w:rsidRPr="00FA3B69" w:rsidRDefault="009F11DA" w:rsidP="009F11DA">
      <w:pPr>
        <w:ind w:firstLine="540"/>
        <w:jc w:val="center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№1к муниципальной программе</w:t>
      </w:r>
      <w:r w:rsidRPr="00FA3B69">
        <w:rPr>
          <w:sz w:val="28"/>
          <w:szCs w:val="28"/>
        </w:rPr>
        <w:t>.</w:t>
      </w:r>
    </w:p>
    <w:p w:rsidR="009F11DA" w:rsidRDefault="009F11DA" w:rsidP="009F11DA">
      <w:pPr>
        <w:ind w:firstLine="540"/>
        <w:jc w:val="center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FA3B69">
        <w:rPr>
          <w:sz w:val="28"/>
          <w:szCs w:val="28"/>
        </w:rPr>
        <w:t xml:space="preserve">. </w:t>
      </w:r>
      <w:r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  <w:proofErr w:type="gramStart"/>
      <w:r w:rsidRPr="00FA3B69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б </w:t>
      </w:r>
      <w:r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№2</w:t>
      </w:r>
      <w:r w:rsidRPr="00FA3B69">
        <w:rPr>
          <w:sz w:val="28"/>
          <w:szCs w:val="28"/>
        </w:rPr>
        <w:t>.</w:t>
      </w:r>
      <w:proofErr w:type="gramEnd"/>
    </w:p>
    <w:p w:rsidR="009F11DA" w:rsidRPr="00FA3B69" w:rsidRDefault="009F11DA" w:rsidP="009F11DA">
      <w:pPr>
        <w:ind w:firstLine="540"/>
        <w:jc w:val="both"/>
        <w:rPr>
          <w:sz w:val="28"/>
          <w:szCs w:val="28"/>
        </w:rPr>
      </w:pPr>
    </w:p>
    <w:p w:rsidR="009F11DA" w:rsidRPr="00FA3B69" w:rsidRDefault="009F11DA" w:rsidP="009F11DA"/>
    <w:p w:rsidR="009F11DA" w:rsidRPr="00FA3B69" w:rsidRDefault="009F11DA" w:rsidP="009F11DA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9F11DA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11DA" w:rsidRDefault="009F11DA" w:rsidP="009F11DA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9F11DA" w:rsidTr="006B79BA">
        <w:tc>
          <w:tcPr>
            <w:tcW w:w="10740" w:type="dxa"/>
          </w:tcPr>
          <w:p w:rsidR="009F11DA" w:rsidRDefault="009F11DA" w:rsidP="006B79B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9F11DA" w:rsidRPr="00FA3B69" w:rsidRDefault="009F11DA" w:rsidP="006B79B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9F11DA" w:rsidRDefault="009F11DA" w:rsidP="006B79BA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9F11DA" w:rsidRDefault="009F11DA" w:rsidP="009F11DA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>
        <w:rPr>
          <w:sz w:val="28"/>
          <w:szCs w:val="28"/>
        </w:rPr>
        <w:t xml:space="preserve">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F11DA" w:rsidRDefault="009F11DA" w:rsidP="009F11DA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 «Управление муниципальными финансами Идринского района»</w:t>
      </w:r>
    </w:p>
    <w:p w:rsidR="009F11DA" w:rsidRDefault="009F11DA" w:rsidP="009F11DA">
      <w:pPr>
        <w:jc w:val="center"/>
        <w:rPr>
          <w:sz w:val="28"/>
          <w:szCs w:val="28"/>
        </w:rPr>
      </w:pPr>
    </w:p>
    <w:p w:rsidR="006B79BA" w:rsidRPr="00FA3B69" w:rsidRDefault="006B79BA" w:rsidP="009F11DA">
      <w:pPr>
        <w:jc w:val="center"/>
        <w:rPr>
          <w:sz w:val="28"/>
          <w:szCs w:val="28"/>
        </w:rPr>
      </w:pPr>
    </w:p>
    <w:tbl>
      <w:tblPr>
        <w:tblW w:w="15077" w:type="dxa"/>
        <w:tblInd w:w="206" w:type="dxa"/>
        <w:tblLook w:val="0000" w:firstRow="0" w:lastRow="0" w:firstColumn="0" w:lastColumn="0" w:noHBand="0" w:noVBand="0"/>
      </w:tblPr>
      <w:tblGrid>
        <w:gridCol w:w="635"/>
        <w:gridCol w:w="4191"/>
        <w:gridCol w:w="1301"/>
        <w:gridCol w:w="816"/>
        <w:gridCol w:w="1043"/>
        <w:gridCol w:w="816"/>
        <w:gridCol w:w="119"/>
        <w:gridCol w:w="698"/>
        <w:gridCol w:w="700"/>
        <w:gridCol w:w="9"/>
        <w:gridCol w:w="808"/>
        <w:gridCol w:w="7"/>
        <w:gridCol w:w="703"/>
        <w:gridCol w:w="135"/>
        <w:gridCol w:w="562"/>
        <w:gridCol w:w="49"/>
        <w:gridCol w:w="95"/>
        <w:gridCol w:w="560"/>
        <w:gridCol w:w="42"/>
        <w:gridCol w:w="538"/>
        <w:gridCol w:w="1250"/>
      </w:tblGrid>
      <w:tr w:rsidR="006B79BA" w:rsidRPr="00567B96" w:rsidTr="006B79BA">
        <w:trPr>
          <w:trHeight w:val="76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67B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B79BA" w:rsidRPr="00567B96" w:rsidTr="006B79BA">
        <w:trPr>
          <w:trHeight w:val="32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6B79BA" w:rsidRPr="00567B96" w:rsidTr="006B79BA">
        <w:trPr>
          <w:trHeight w:val="76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6B79BA" w:rsidRPr="00567B96" w:rsidTr="006B79BA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13</w:t>
            </w:r>
          </w:p>
        </w:tc>
      </w:tr>
      <w:tr w:rsidR="006B79BA" w:rsidRPr="00567B96" w:rsidTr="006B79BA">
        <w:trPr>
          <w:trHeight w:val="591"/>
        </w:trPr>
        <w:tc>
          <w:tcPr>
            <w:tcW w:w="1507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6B79BA" w:rsidRPr="00567B96" w:rsidTr="006B79BA">
        <w:trPr>
          <w:trHeight w:val="112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B7945" w:rsidRDefault="006B79BA" w:rsidP="006B79BA">
            <w:r>
              <w:rPr>
                <w:rFonts w:eastAsia="Times New Roman"/>
                <w:sz w:val="24"/>
                <w:szCs w:val="24"/>
              </w:rPr>
              <w:t>2,2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</w:tr>
      <w:tr w:rsidR="006B79BA" w:rsidRPr="00567B96" w:rsidTr="006B79BA">
        <w:trPr>
          <w:trHeight w:val="20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6B79BA" w:rsidRPr="00567B96" w:rsidTr="006B79BA">
        <w:trPr>
          <w:trHeight w:val="107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89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7A4DB7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6B79BA" w:rsidRPr="00567B96" w:rsidTr="006B79BA">
        <w:trPr>
          <w:trHeight w:val="531"/>
        </w:trPr>
        <w:tc>
          <w:tcPr>
            <w:tcW w:w="15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6B79BA" w:rsidRPr="00567B96" w:rsidTr="006B79BA">
        <w:trPr>
          <w:trHeight w:val="531"/>
        </w:trPr>
        <w:tc>
          <w:tcPr>
            <w:tcW w:w="15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6B79BA" w:rsidRPr="00567B96" w:rsidTr="006B79BA">
        <w:trPr>
          <w:trHeight w:val="10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</w:tr>
      <w:tr w:rsidR="006B79BA" w:rsidRPr="00567B96" w:rsidTr="006B79BA">
        <w:trPr>
          <w:trHeight w:val="18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6B79BA" w:rsidRPr="00567B96" w:rsidTr="006B79BA">
        <w:trPr>
          <w:trHeight w:val="11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</w:t>
            </w:r>
          </w:p>
        </w:tc>
      </w:tr>
      <w:tr w:rsidR="006B79BA" w:rsidRPr="00567B96" w:rsidTr="006B79BA">
        <w:trPr>
          <w:trHeight w:val="525"/>
        </w:trPr>
        <w:tc>
          <w:tcPr>
            <w:tcW w:w="15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6B79BA" w:rsidRPr="00567B96" w:rsidTr="006B79BA">
        <w:trPr>
          <w:trHeight w:val="233"/>
        </w:trPr>
        <w:tc>
          <w:tcPr>
            <w:tcW w:w="15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2. Обеспечение реализации муниципальной программы и прочие мероприятия</w:t>
            </w:r>
          </w:p>
        </w:tc>
      </w:tr>
      <w:tr w:rsidR="006B79BA" w:rsidRPr="00567B96" w:rsidTr="006B79BA">
        <w:trPr>
          <w:trHeight w:val="117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89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25275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6B79BA" w:rsidRPr="00567B96" w:rsidTr="006B79BA">
        <w:trPr>
          <w:trHeight w:val="10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6B79BA" w:rsidRPr="00567B96" w:rsidTr="006B79BA">
        <w:trPr>
          <w:trHeight w:val="295"/>
        </w:trPr>
        <w:tc>
          <w:tcPr>
            <w:tcW w:w="15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6B79BA" w:rsidRPr="00567B96" w:rsidTr="006B79BA">
        <w:trPr>
          <w:trHeight w:val="358"/>
        </w:trPr>
        <w:tc>
          <w:tcPr>
            <w:tcW w:w="150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6B79BA" w:rsidRPr="00567B96" w:rsidTr="006B79BA">
        <w:trPr>
          <w:trHeight w:val="11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B79BA" w:rsidRPr="00567B96" w:rsidTr="006B79BA">
        <w:trPr>
          <w:trHeight w:val="138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B79BA" w:rsidRPr="00567B96" w:rsidTr="006B79BA">
        <w:trPr>
          <w:trHeight w:val="226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6B79BA" w:rsidRPr="00567B96" w:rsidTr="006B79BA">
        <w:trPr>
          <w:trHeight w:val="6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567B96" w:rsidRDefault="006B79B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F11DA" w:rsidRDefault="009F11DA" w:rsidP="009F11DA">
      <w:pPr>
        <w:jc w:val="right"/>
        <w:outlineLvl w:val="1"/>
        <w:rPr>
          <w:sz w:val="28"/>
          <w:szCs w:val="28"/>
          <w:highlight w:val="yellow"/>
        </w:rPr>
      </w:pPr>
    </w:p>
    <w:p w:rsidR="009F11DA" w:rsidRDefault="009F11DA" w:rsidP="009F11D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9F11DA" w:rsidTr="006B79BA">
        <w:tc>
          <w:tcPr>
            <w:tcW w:w="11023" w:type="dxa"/>
          </w:tcPr>
          <w:p w:rsidR="009F11DA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B79BA" w:rsidRDefault="006B79BA" w:rsidP="006B79BA">
            <w:pPr>
              <w:widowControl/>
              <w:outlineLvl w:val="2"/>
              <w:rPr>
                <w:sz w:val="28"/>
                <w:szCs w:val="28"/>
              </w:rPr>
            </w:pPr>
          </w:p>
          <w:p w:rsidR="009F11DA" w:rsidRPr="00FA3B69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9F11DA" w:rsidRDefault="009F11DA" w:rsidP="006B79BA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9F11DA" w:rsidRDefault="009F11DA" w:rsidP="009F11DA">
      <w:pPr>
        <w:widowControl/>
        <w:outlineLvl w:val="2"/>
        <w:rPr>
          <w:sz w:val="28"/>
          <w:szCs w:val="28"/>
        </w:rPr>
      </w:pPr>
    </w:p>
    <w:p w:rsidR="009F11DA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9F11DA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 Идринского района»</w:t>
      </w:r>
    </w:p>
    <w:p w:rsidR="009F11DA" w:rsidRDefault="009F11DA" w:rsidP="009F11DA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6B79BA" w:rsidRDefault="006B79BA" w:rsidP="006B79BA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701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6B79BA" w:rsidRPr="00C77328" w:rsidTr="006B79BA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№ </w:t>
            </w:r>
            <w:proofErr w:type="gramStart"/>
            <w:r w:rsidRPr="00C77328">
              <w:t>п</w:t>
            </w:r>
            <w:proofErr w:type="gramEnd"/>
            <w:r w:rsidRPr="00C77328"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Очередной финансовый год 2020 г.</w:t>
            </w:r>
          </w:p>
          <w:p w:rsidR="006B79BA" w:rsidRPr="00C77328" w:rsidRDefault="006B79BA" w:rsidP="006B79BA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Первый год планового периода</w:t>
            </w:r>
          </w:p>
          <w:p w:rsidR="006B79BA" w:rsidRPr="00C77328" w:rsidRDefault="006B79BA" w:rsidP="006B79BA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Второй год планового периода</w:t>
            </w:r>
          </w:p>
          <w:p w:rsidR="006B79BA" w:rsidRPr="00C77328" w:rsidRDefault="006B79BA" w:rsidP="006B79BA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jc w:val="center"/>
            </w:pPr>
            <w:r w:rsidRPr="00C77328">
              <w:t>Итого на очередной финансовый год и плановый период</w:t>
            </w:r>
          </w:p>
        </w:tc>
      </w:tr>
      <w:tr w:rsidR="006B79BA" w:rsidRPr="00C77328" w:rsidTr="006B79BA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C77328">
              <w:t>Рз</w:t>
            </w:r>
            <w:proofErr w:type="spellEnd"/>
            <w:r w:rsidRPr="00C77328">
              <w:br/>
            </w:r>
            <w:proofErr w:type="spellStart"/>
            <w:proofErr w:type="gramStart"/>
            <w:r w:rsidRPr="00C77328"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ind w:right="-37"/>
              <w:jc w:val="center"/>
            </w:pPr>
            <w:r w:rsidRPr="00C77328"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B79BA" w:rsidRPr="00C77328" w:rsidTr="006B79BA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12</w:t>
            </w:r>
          </w:p>
        </w:tc>
      </w:tr>
      <w:tr w:rsidR="006B79BA" w:rsidRPr="00C77328" w:rsidTr="006B7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77328">
              <w:rPr>
                <w:lang w:eastAsia="en-US"/>
              </w:rPr>
              <w:t>Управление муниципальными финансами Идринского района</w:t>
            </w:r>
          </w:p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</w:t>
            </w:r>
            <w:r>
              <w:rPr>
                <w:b/>
              </w:rPr>
              <w:t>7 603 924</w:t>
            </w:r>
            <w:r w:rsidRPr="00C7732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 xml:space="preserve">81 908 606,00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81 625 942,00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</w:t>
            </w:r>
            <w:r>
              <w:rPr>
                <w:b/>
              </w:rPr>
              <w:t>51 138 472</w:t>
            </w:r>
            <w:r w:rsidRPr="00C77328">
              <w:rPr>
                <w:b/>
              </w:rPr>
              <w:t>,00</w:t>
            </w:r>
          </w:p>
        </w:tc>
      </w:tr>
      <w:tr w:rsidR="006B79BA" w:rsidRPr="00C77328" w:rsidTr="006B79BA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</w:t>
            </w:r>
            <w:r>
              <w:rPr>
                <w:b/>
              </w:rPr>
              <w:t>7 603 924</w:t>
            </w:r>
            <w:r w:rsidRPr="00C7732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 xml:space="preserve">81 908 606,00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81 625 942,00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</w:t>
            </w:r>
            <w:r>
              <w:rPr>
                <w:b/>
              </w:rPr>
              <w:t>51 138 472</w:t>
            </w:r>
            <w:r w:rsidRPr="00C77328">
              <w:rPr>
                <w:b/>
              </w:rPr>
              <w:t>,00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rPr>
                <w:lang w:eastAsia="en-US"/>
              </w:rPr>
              <w:t xml:space="preserve">Создание условий 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Pr="00C77328">
              <w:rPr>
                <w:lang w:eastAsia="en-US"/>
              </w:rPr>
              <w:lastRenderedPageBreak/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0810000000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80 897 763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75 937 201,00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75 654 537,00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32 489 501</w:t>
            </w:r>
            <w:r w:rsidRPr="00C77328">
              <w:rPr>
                <w:b/>
                <w:lang w:eastAsia="en-US"/>
              </w:rPr>
              <w:t>,00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16 223 800,00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12 979 000,00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12 979 000,00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42 181 800,00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22 560 843,00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22 560 843,00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22 560 843,00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67 682 529,00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42 113 120</w:t>
            </w:r>
            <w:r w:rsidRPr="00C7732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40 397 358,00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40 114 694,00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1</w:t>
            </w:r>
            <w:r>
              <w:rPr>
                <w:lang w:eastAsia="en-US"/>
              </w:rPr>
              <w:t>22 625 172</w:t>
            </w:r>
            <w:r w:rsidRPr="00C77328">
              <w:rPr>
                <w:lang w:eastAsia="en-US"/>
              </w:rPr>
              <w:t>,00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Подпрограмма 2</w:t>
            </w:r>
          </w:p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rPr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подпрограмме, в том числе:</w:t>
            </w:r>
          </w:p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702 161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5 971 405,00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5 971 405,00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18</w:t>
            </w:r>
            <w:r>
              <w:rPr>
                <w:b/>
              </w:rPr>
              <w:t> 644 971</w:t>
            </w:r>
            <w:r w:rsidRPr="00C77328">
              <w:rPr>
                <w:b/>
              </w:rPr>
              <w:t>,00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6 071 861</w:t>
            </w:r>
            <w:r w:rsidRPr="00C7732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  <w:r>
              <w:t>8 014 671</w:t>
            </w:r>
            <w:r w:rsidRPr="00C77328">
              <w:t>,00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   5 022 237,92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16</w:t>
            </w:r>
            <w:r>
              <w:t> 431 347,92</w:t>
            </w:r>
          </w:p>
        </w:tc>
      </w:tr>
      <w:tr w:rsidR="006B79BA" w:rsidRPr="00C77328" w:rsidTr="006B79BA">
        <w:trPr>
          <w:trHeight w:val="55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1 049 623,08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>
              <w:t>2 213 623,08</w:t>
            </w:r>
          </w:p>
        </w:tc>
      </w:tr>
      <w:tr w:rsidR="006B79BA" w:rsidRPr="00C77328" w:rsidTr="006B79BA">
        <w:trPr>
          <w:trHeight w:val="5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r w:rsidRPr="00C77328">
              <w:t>08200103</w:t>
            </w:r>
            <w:r>
              <w:t>5</w:t>
            </w:r>
            <w:r w:rsidRPr="00C77328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>
              <w:t>43 735,00</w:t>
            </w:r>
          </w:p>
        </w:tc>
      </w:tr>
      <w:tr w:rsidR="006B79BA" w:rsidRPr="00C77328" w:rsidTr="006B79BA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r w:rsidRPr="00C77328">
              <w:t>0820010360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</w:pPr>
            <w:r w:rsidRPr="00C77328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586 565,0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jc w:val="center"/>
            </w:pPr>
            <w:r w:rsidRPr="00C77328">
              <w:t>586 565,0</w:t>
            </w:r>
            <w:r>
              <w:t>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Подпрограмма 3</w:t>
            </w:r>
          </w:p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0"/>
              </w:rPr>
            </w:pPr>
            <w:r w:rsidRPr="00C77328">
              <w:rPr>
                <w:rFonts w:ascii="Times New Roman" w:eastAsia="Times New Roman" w:hAnsi="Times New Roman"/>
                <w:sz w:val="20"/>
              </w:rPr>
              <w:t>Управление муниципальным долгом</w:t>
            </w:r>
          </w:p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подпрограмме, в том числе:</w:t>
            </w:r>
          </w:p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4 000,</w:t>
            </w:r>
            <w:r w:rsidRPr="00C77328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4 000,0</w:t>
            </w:r>
            <w:r w:rsidRPr="00C77328">
              <w:rPr>
                <w:b/>
              </w:rPr>
              <w:t>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</w:p>
        </w:tc>
      </w:tr>
      <w:tr w:rsidR="006B79BA" w:rsidRPr="00C77328" w:rsidTr="006B79BA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0800080140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 w:rsidRPr="00C77328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4 000,0</w:t>
            </w:r>
            <w:r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9BA" w:rsidRPr="00C77328" w:rsidRDefault="006B79BA" w:rsidP="006B79BA">
            <w:pPr>
              <w:widowControl/>
              <w:autoSpaceDE/>
              <w:autoSpaceDN/>
              <w:adjustRightInd/>
              <w:jc w:val="center"/>
            </w:pPr>
            <w:r>
              <w:t>4 000,0</w:t>
            </w:r>
            <w:r w:rsidRPr="00C77328">
              <w:t>0</w:t>
            </w:r>
          </w:p>
        </w:tc>
      </w:tr>
    </w:tbl>
    <w:p w:rsidR="009F11DA" w:rsidRDefault="009F11DA" w:rsidP="009F11DA">
      <w:pPr>
        <w:jc w:val="center"/>
        <w:rPr>
          <w:sz w:val="28"/>
          <w:szCs w:val="28"/>
        </w:rPr>
      </w:pPr>
    </w:p>
    <w:p w:rsidR="009F11DA" w:rsidRPr="00FA3B69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9F11DA" w:rsidRDefault="009F11DA" w:rsidP="009F11DA">
      <w:pPr>
        <w:widowControl/>
        <w:ind w:firstLine="567"/>
        <w:jc w:val="right"/>
      </w:pPr>
    </w:p>
    <w:p w:rsidR="009F11DA" w:rsidRDefault="009F11DA" w:rsidP="009F11DA">
      <w:pPr>
        <w:widowControl/>
        <w:ind w:firstLine="567"/>
        <w:jc w:val="right"/>
      </w:pPr>
    </w:p>
    <w:p w:rsidR="009F11DA" w:rsidRDefault="009F11DA" w:rsidP="009F11DA">
      <w:pPr>
        <w:widowControl/>
        <w:ind w:firstLine="567"/>
        <w:jc w:val="right"/>
      </w:pPr>
    </w:p>
    <w:p w:rsidR="009F11DA" w:rsidRDefault="009F11DA" w:rsidP="009F11DA">
      <w:pPr>
        <w:widowControl/>
        <w:ind w:firstLine="567"/>
        <w:jc w:val="right"/>
      </w:pPr>
    </w:p>
    <w:p w:rsidR="009F11DA" w:rsidRDefault="009F11DA" w:rsidP="009F11DA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9F11DA" w:rsidTr="006B79BA">
        <w:tc>
          <w:tcPr>
            <w:tcW w:w="10173" w:type="dxa"/>
          </w:tcPr>
          <w:p w:rsidR="009F11DA" w:rsidRDefault="009F11DA" w:rsidP="006B79B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A2748" w:rsidRDefault="005A2748" w:rsidP="006B79BA">
            <w:pPr>
              <w:widowControl/>
              <w:rPr>
                <w:sz w:val="28"/>
                <w:szCs w:val="28"/>
              </w:rPr>
            </w:pPr>
          </w:p>
          <w:p w:rsidR="005A2748" w:rsidRDefault="005A2748" w:rsidP="006B79BA">
            <w:pPr>
              <w:widowControl/>
              <w:rPr>
                <w:sz w:val="28"/>
                <w:szCs w:val="28"/>
              </w:rPr>
            </w:pPr>
          </w:p>
          <w:p w:rsidR="005A2748" w:rsidRDefault="005A2748" w:rsidP="006B79BA">
            <w:pPr>
              <w:widowControl/>
              <w:rPr>
                <w:sz w:val="28"/>
                <w:szCs w:val="28"/>
              </w:rPr>
            </w:pPr>
          </w:p>
          <w:p w:rsidR="005A2748" w:rsidRDefault="005A2748" w:rsidP="006B79BA">
            <w:pPr>
              <w:widowControl/>
              <w:rPr>
                <w:sz w:val="28"/>
                <w:szCs w:val="28"/>
              </w:rPr>
            </w:pPr>
          </w:p>
          <w:p w:rsidR="005A2748" w:rsidRDefault="005A2748" w:rsidP="006B79BA">
            <w:pPr>
              <w:widowControl/>
              <w:rPr>
                <w:sz w:val="28"/>
                <w:szCs w:val="28"/>
              </w:rPr>
            </w:pPr>
          </w:p>
          <w:p w:rsidR="005A2748" w:rsidRDefault="005A2748" w:rsidP="006B79BA">
            <w:pPr>
              <w:widowControl/>
              <w:rPr>
                <w:sz w:val="28"/>
                <w:szCs w:val="28"/>
              </w:rPr>
            </w:pPr>
          </w:p>
          <w:p w:rsidR="005A2748" w:rsidRDefault="005A2748" w:rsidP="006B79BA">
            <w:pPr>
              <w:widowControl/>
              <w:rPr>
                <w:sz w:val="28"/>
                <w:szCs w:val="28"/>
              </w:rPr>
            </w:pPr>
          </w:p>
          <w:p w:rsidR="009F11DA" w:rsidRPr="00F900E6" w:rsidRDefault="009F11DA" w:rsidP="006B79BA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lastRenderedPageBreak/>
              <w:t>Приложение № 2</w:t>
            </w:r>
          </w:p>
          <w:p w:rsidR="009F11DA" w:rsidRPr="00F900E6" w:rsidRDefault="009F11DA" w:rsidP="006B79BA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  <w:r w:rsidR="005A2748">
              <w:rPr>
                <w:sz w:val="28"/>
                <w:szCs w:val="28"/>
                <w:lang w:eastAsia="en-US"/>
              </w:rPr>
              <w:t xml:space="preserve"> </w:t>
            </w:r>
            <w:r w:rsidRPr="00F900E6">
              <w:rPr>
                <w:sz w:val="28"/>
                <w:szCs w:val="28"/>
                <w:lang w:eastAsia="en-US"/>
              </w:rPr>
              <w:t xml:space="preserve">«Управление муниципальными финансами </w:t>
            </w:r>
          </w:p>
          <w:p w:rsidR="009F11DA" w:rsidRPr="00F900E6" w:rsidRDefault="009F11DA" w:rsidP="006B79BA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9F11DA" w:rsidRDefault="009F11DA" w:rsidP="006B79BA">
            <w:pPr>
              <w:widowControl/>
              <w:rPr>
                <w:sz w:val="28"/>
                <w:szCs w:val="28"/>
              </w:rPr>
            </w:pPr>
          </w:p>
        </w:tc>
      </w:tr>
    </w:tbl>
    <w:p w:rsidR="001677D8" w:rsidRDefault="009F11DA" w:rsidP="001677D8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lastRenderedPageBreak/>
        <w:t>Информация об источниках финансирования подпрограмм, отдельных</w:t>
      </w:r>
      <w:r w:rsidR="001677D8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мероприятий </w:t>
      </w:r>
    </w:p>
    <w:p w:rsidR="001677D8" w:rsidRDefault="009F11DA" w:rsidP="001677D8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>муниципальной программы Идринского района</w:t>
      </w:r>
      <w:r w:rsidR="001677D8">
        <w:rPr>
          <w:rFonts w:eastAsia="Times New Roman"/>
          <w:sz w:val="28"/>
          <w:szCs w:val="28"/>
        </w:rPr>
        <w:t xml:space="preserve"> </w:t>
      </w:r>
      <w:r w:rsidRPr="00F900E6">
        <w:rPr>
          <w:sz w:val="28"/>
          <w:szCs w:val="28"/>
          <w:lang w:eastAsia="en-US"/>
        </w:rPr>
        <w:t>«Управление муниципальными финансами</w:t>
      </w:r>
      <w:r>
        <w:rPr>
          <w:sz w:val="28"/>
          <w:szCs w:val="28"/>
          <w:lang w:eastAsia="en-US"/>
        </w:rPr>
        <w:t xml:space="preserve"> </w:t>
      </w:r>
    </w:p>
    <w:p w:rsidR="001677D8" w:rsidRDefault="009F11DA" w:rsidP="001677D8">
      <w:pPr>
        <w:jc w:val="center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Идринского района</w:t>
      </w:r>
      <w:r w:rsidRPr="00F900E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(средства районного бюджета, в том числе средства, поступившие из бюджетов </w:t>
      </w:r>
      <w:proofErr w:type="gramEnd"/>
    </w:p>
    <w:p w:rsidR="009F11DA" w:rsidRPr="00F900E6" w:rsidRDefault="009F11DA" w:rsidP="001677D8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A05313" w:rsidRDefault="00A05313" w:rsidP="00A05313">
      <w:pPr>
        <w:jc w:val="center"/>
        <w:rPr>
          <w:rFonts w:eastAsia="Times New Roman"/>
        </w:rPr>
      </w:pPr>
    </w:p>
    <w:tbl>
      <w:tblPr>
        <w:tblW w:w="5274" w:type="pct"/>
        <w:tblLayout w:type="fixed"/>
        <w:tblLook w:val="00A0" w:firstRow="1" w:lastRow="0" w:firstColumn="1" w:lastColumn="0" w:noHBand="0" w:noVBand="0"/>
      </w:tblPr>
      <w:tblGrid>
        <w:gridCol w:w="533"/>
        <w:gridCol w:w="1700"/>
        <w:gridCol w:w="4432"/>
        <w:gridCol w:w="2099"/>
        <w:gridCol w:w="1663"/>
        <w:gridCol w:w="1756"/>
        <w:gridCol w:w="1697"/>
        <w:gridCol w:w="1716"/>
      </w:tblGrid>
      <w:tr w:rsidR="00A05313" w:rsidRPr="00C77328" w:rsidTr="00E54438">
        <w:trPr>
          <w:trHeight w:val="60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№ </w:t>
            </w:r>
            <w:proofErr w:type="gramStart"/>
            <w:r w:rsidRPr="00C77328">
              <w:t>п</w:t>
            </w:r>
            <w:proofErr w:type="gramEnd"/>
            <w:r w:rsidRPr="00C77328">
              <w:t>/п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Статус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Наименование муниципальной программы, подпрограммы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Уровень бюджетной системы/ источники финансирования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Очередной финансовый год 2020 г.</w:t>
            </w:r>
          </w:p>
          <w:p w:rsidR="00A05313" w:rsidRPr="00C77328" w:rsidRDefault="00A05313" w:rsidP="00E54438">
            <w:pPr>
              <w:jc w:val="center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Первый год планового периода</w:t>
            </w:r>
          </w:p>
          <w:p w:rsidR="00A05313" w:rsidRPr="00C77328" w:rsidRDefault="00A05313" w:rsidP="00E54438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2021 г.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Второй год планового периода</w:t>
            </w:r>
          </w:p>
          <w:p w:rsidR="00A05313" w:rsidRPr="00C77328" w:rsidRDefault="00A05313" w:rsidP="00E54438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2022 г.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jc w:val="center"/>
            </w:pPr>
            <w:r w:rsidRPr="00C77328">
              <w:t>Итого на очередной финансовый год и плановый период</w:t>
            </w:r>
          </w:p>
        </w:tc>
      </w:tr>
      <w:tr w:rsidR="00A05313" w:rsidRPr="00C77328" w:rsidTr="00E54438">
        <w:trPr>
          <w:trHeight w:val="38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план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план</w:t>
            </w: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05313" w:rsidRPr="00C77328" w:rsidTr="00E54438">
        <w:trPr>
          <w:trHeight w:val="355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C77328"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</w:pPr>
            <w:r w:rsidRPr="00C77328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8</w:t>
            </w:r>
          </w:p>
        </w:tc>
      </w:tr>
      <w:tr w:rsidR="00A05313" w:rsidRPr="00C77328" w:rsidTr="00E54438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Муниципальная программа</w:t>
            </w:r>
          </w:p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 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Управление муниципальными финансами Идринского района</w:t>
            </w:r>
          </w:p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87 603 924</w:t>
            </w:r>
            <w:r w:rsidRPr="00C77328">
              <w:rPr>
                <w:b/>
              </w:rPr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81 908 606,00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81 625 942,00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</w:t>
            </w:r>
            <w:r>
              <w:rPr>
                <w:b/>
              </w:rPr>
              <w:t>51 138 472</w:t>
            </w:r>
            <w:r w:rsidRPr="00C77328">
              <w:rPr>
                <w:b/>
              </w:rPr>
              <w:t>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16</w:t>
            </w:r>
            <w:r>
              <w:t> </w:t>
            </w:r>
            <w:r w:rsidRPr="00C77328">
              <w:t>8</w:t>
            </w:r>
            <w:r>
              <w:t>54 100</w:t>
            </w:r>
            <w:r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42</w:t>
            </w:r>
            <w:r>
              <w:t> 812 100</w:t>
            </w:r>
            <w:r w:rsidRPr="00C77328">
              <w:t>,00</w:t>
            </w:r>
          </w:p>
        </w:tc>
      </w:tr>
      <w:tr w:rsidR="00A05313" w:rsidRPr="00C77328" w:rsidTr="00E54438">
        <w:trPr>
          <w:trHeight w:val="245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районный бюджет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>
              <w:t>70 749 824</w:t>
            </w:r>
            <w:r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68 929 606,00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68 646 942,00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20</w:t>
            </w:r>
            <w:r>
              <w:t>8 326 372</w:t>
            </w:r>
            <w:r w:rsidRPr="00C77328">
              <w:t>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1.1.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1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80 897 763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75 937 201,00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75 654 537,00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32 489 501</w:t>
            </w:r>
            <w:r w:rsidRPr="00C77328">
              <w:rPr>
                <w:b/>
                <w:lang w:eastAsia="en-US"/>
              </w:rPr>
              <w:t>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16 223 800,00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42 181 800,00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>
              <w:t>64 673 963</w:t>
            </w:r>
            <w:r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62 958 201,00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62 675 537,00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  <w:r>
              <w:t>90 307 701</w:t>
            </w:r>
            <w:r w:rsidRPr="00C77328">
              <w:t>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1.2.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2</w:t>
            </w:r>
          </w:p>
        </w:tc>
        <w:tc>
          <w:tcPr>
            <w:tcW w:w="142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6</w:t>
            </w:r>
            <w:r>
              <w:rPr>
                <w:b/>
              </w:rPr>
              <w:t> 702 161</w:t>
            </w:r>
            <w:r w:rsidRPr="00C77328">
              <w:rPr>
                <w:b/>
              </w:rPr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  <w:rPr>
                <w:b/>
              </w:rPr>
            </w:pPr>
            <w:r w:rsidRPr="00C77328">
              <w:rPr>
                <w:b/>
              </w:rPr>
              <w:t>5 971 405,00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  <w:rPr>
                <w:b/>
              </w:rPr>
            </w:pPr>
            <w:r w:rsidRPr="00C77328">
              <w:rPr>
                <w:b/>
              </w:rPr>
              <w:t>5 971 405,00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18</w:t>
            </w:r>
            <w:r>
              <w:rPr>
                <w:b/>
              </w:rPr>
              <w:t> 644 971</w:t>
            </w:r>
            <w:r w:rsidRPr="00C77328">
              <w:rPr>
                <w:b/>
              </w:rPr>
              <w:t>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>
              <w:t>630 300</w:t>
            </w:r>
            <w:r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  <w:r w:rsidRPr="00C77328"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  <w:r w:rsidRPr="00C77328"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>
              <w:t>630 300</w:t>
            </w:r>
            <w:r w:rsidRPr="00C77328">
              <w:t>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>
              <w:t>6 071 861,00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  <w:r w:rsidRPr="00C77328">
              <w:t>5 971 405,00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  <w:r w:rsidRPr="00C77328">
              <w:t>5 971 405,00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  <w:r>
              <w:t>8 014 671</w:t>
            </w:r>
            <w:r w:rsidRPr="00C77328">
              <w:t>,00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 w:rsidRPr="00C77328">
              <w:t>1.3.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3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0"/>
              </w:rPr>
            </w:pPr>
            <w:r w:rsidRPr="00C77328">
              <w:rPr>
                <w:rFonts w:ascii="Times New Roman" w:eastAsia="Times New Roman" w:hAnsi="Times New Roman"/>
                <w:b/>
                <w:sz w:val="20"/>
              </w:rPr>
              <w:t>Управление муниципальным долгом</w:t>
            </w:r>
          </w:p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rPr>
                <w:b/>
              </w:rPr>
              <w:t>Идринского района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4 00</w:t>
            </w:r>
            <w:r w:rsidRPr="00C77328">
              <w:rPr>
                <w:b/>
              </w:rPr>
              <w:t>0,</w:t>
            </w:r>
            <w:r>
              <w:rPr>
                <w:b/>
              </w:rPr>
              <w:t>0</w:t>
            </w:r>
            <w:r w:rsidRPr="00C77328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4 00</w:t>
            </w:r>
            <w:r w:rsidRPr="00C77328">
              <w:rPr>
                <w:b/>
              </w:rPr>
              <w:t>0,</w:t>
            </w:r>
            <w:r>
              <w:rPr>
                <w:b/>
              </w:rPr>
              <w:t>0</w:t>
            </w:r>
            <w:r w:rsidRPr="00C77328">
              <w:rPr>
                <w:b/>
              </w:rPr>
              <w:t>0</w:t>
            </w: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A05313" w:rsidRPr="00C77328" w:rsidTr="00E54438">
        <w:trPr>
          <w:trHeight w:val="30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>
              <w:t>4 000</w:t>
            </w:r>
            <w:r w:rsidRPr="00C77328">
              <w:t>,0</w:t>
            </w: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  <w:r w:rsidRPr="00C77328"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jc w:val="center"/>
            </w:pPr>
            <w:r w:rsidRPr="00C77328"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5313" w:rsidRPr="00C77328" w:rsidRDefault="00A05313" w:rsidP="00E54438">
            <w:pPr>
              <w:widowControl/>
              <w:autoSpaceDE/>
              <w:autoSpaceDN/>
              <w:adjustRightInd/>
              <w:jc w:val="center"/>
            </w:pPr>
            <w:r>
              <w:t>4 00</w:t>
            </w:r>
            <w:r w:rsidRPr="00C77328">
              <w:t>0,</w:t>
            </w:r>
            <w:r>
              <w:t>0</w:t>
            </w:r>
            <w:r w:rsidRPr="00C77328">
              <w:t>0</w:t>
            </w:r>
          </w:p>
        </w:tc>
      </w:tr>
    </w:tbl>
    <w:p w:rsidR="009F11DA" w:rsidRPr="0080306D" w:rsidRDefault="009F11DA" w:rsidP="009F11DA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9F11DA" w:rsidRPr="0080306D" w:rsidRDefault="009F11DA" w:rsidP="009F11DA">
      <w:pPr>
        <w:adjustRightInd/>
        <w:jc w:val="center"/>
        <w:rPr>
          <w:sz w:val="28"/>
          <w:szCs w:val="28"/>
          <w:highlight w:val="yellow"/>
        </w:rPr>
      </w:pPr>
    </w:p>
    <w:p w:rsidR="009F11DA" w:rsidRPr="00FA3B69" w:rsidRDefault="009F11DA" w:rsidP="009F11DA">
      <w:pPr>
        <w:sectPr w:rsidR="009F11DA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9F11DA" w:rsidTr="006B79BA">
        <w:tc>
          <w:tcPr>
            <w:tcW w:w="5637" w:type="dxa"/>
          </w:tcPr>
          <w:p w:rsidR="009F11DA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F11DA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9F11DA" w:rsidRPr="00320D5D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9F11DA" w:rsidRDefault="009F11DA" w:rsidP="006B79B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9F11DA" w:rsidRPr="00320D5D" w:rsidRDefault="009F11DA" w:rsidP="009F11DA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</w:t>
      </w:r>
    </w:p>
    <w:p w:rsidR="009F11DA" w:rsidRPr="00320D5D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 xml:space="preserve">Подпрограмма </w:t>
      </w:r>
    </w:p>
    <w:p w:rsidR="009F11DA" w:rsidRPr="00320D5D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9F11DA" w:rsidRPr="00320D5D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9F11DA" w:rsidRPr="00320D5D" w:rsidRDefault="009F11DA" w:rsidP="009F11DA">
      <w:pPr>
        <w:jc w:val="center"/>
        <w:rPr>
          <w:sz w:val="28"/>
          <w:szCs w:val="28"/>
        </w:rPr>
      </w:pPr>
    </w:p>
    <w:p w:rsidR="009F11DA" w:rsidRPr="00320D5D" w:rsidRDefault="009F11DA" w:rsidP="009F11DA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9F11DA" w:rsidRPr="00320D5D" w:rsidRDefault="009F11DA" w:rsidP="009F11DA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5954"/>
      </w:tblGrid>
      <w:tr w:rsidR="009F11DA" w:rsidRPr="00320D5D" w:rsidTr="006B79BA">
        <w:trPr>
          <w:trHeight w:val="597"/>
        </w:trPr>
        <w:tc>
          <w:tcPr>
            <w:tcW w:w="567" w:type="dxa"/>
            <w:vAlign w:val="center"/>
          </w:tcPr>
          <w:p w:rsidR="009F11DA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9F11DA" w:rsidRPr="00320D5D" w:rsidRDefault="009F11DA" w:rsidP="006B79B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11DA" w:rsidRPr="00320D5D" w:rsidTr="006B79BA">
        <w:trPr>
          <w:trHeight w:val="597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9F11DA" w:rsidRPr="00320D5D" w:rsidRDefault="009F11DA" w:rsidP="006B79B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9F11DA" w:rsidRPr="00320D5D" w:rsidTr="006B79BA">
        <w:trPr>
          <w:trHeight w:val="597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9F11DA" w:rsidRPr="00320D5D" w:rsidTr="006B79BA">
        <w:trPr>
          <w:trHeight w:val="597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F11DA" w:rsidRPr="002E7D41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9F11DA" w:rsidRPr="00320D5D" w:rsidTr="006B79BA">
        <w:trPr>
          <w:trHeight w:val="597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F11DA" w:rsidRPr="002E7D41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9F11DA" w:rsidRPr="00320D5D" w:rsidRDefault="009F11DA" w:rsidP="006B79B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9F11DA" w:rsidRPr="00320D5D" w:rsidTr="006B79BA">
        <w:trPr>
          <w:trHeight w:val="1179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F11DA" w:rsidRPr="00320D5D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9F11DA" w:rsidRDefault="009F11DA" w:rsidP="006B79B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  <w:p w:rsidR="009F11DA" w:rsidRDefault="009F11DA" w:rsidP="006B79B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F11DA" w:rsidRDefault="009F11DA" w:rsidP="006B79B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F11DA" w:rsidRPr="00320D5D" w:rsidRDefault="009F11DA" w:rsidP="006B79BA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F11DA" w:rsidRPr="00320D5D" w:rsidRDefault="009F11DA" w:rsidP="006B79BA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9F11DA" w:rsidRPr="00320D5D" w:rsidRDefault="009F11DA" w:rsidP="006B79B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9F11DA" w:rsidRPr="00320D5D" w:rsidTr="006B79BA">
        <w:trPr>
          <w:trHeight w:val="414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9F11DA" w:rsidRPr="00320D5D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9F11DA" w:rsidRPr="00320D5D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приложение № 1 к подпрограмме</w:t>
            </w:r>
          </w:p>
        </w:tc>
      </w:tr>
      <w:tr w:rsidR="009F11DA" w:rsidRPr="00320D5D" w:rsidTr="006B79BA">
        <w:trPr>
          <w:trHeight w:val="836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F11DA" w:rsidRPr="00320D5D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9F11DA" w:rsidRPr="00320D5D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9F11DA" w:rsidRPr="00320D5D" w:rsidTr="006B79BA">
        <w:trPr>
          <w:trHeight w:val="414"/>
        </w:trPr>
        <w:tc>
          <w:tcPr>
            <w:tcW w:w="567" w:type="dxa"/>
            <w:vAlign w:val="center"/>
          </w:tcPr>
          <w:p w:rsidR="009F11DA" w:rsidRPr="00320D5D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F11DA" w:rsidRPr="00203446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A05313" w:rsidRPr="00203446" w:rsidRDefault="00A05313" w:rsidP="00A053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A05313" w:rsidRPr="00203446" w:rsidRDefault="00A05313" w:rsidP="00A053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sz w:val="28"/>
                <w:szCs w:val="28"/>
              </w:rPr>
              <w:t>232 489 501,00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42 181 800,00</w:t>
            </w:r>
            <w:r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190 307 701,00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A05313" w:rsidRPr="00203446" w:rsidRDefault="00A05313" w:rsidP="00A053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0344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80 897 763,00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16 223 800,00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64 673 963,00</w:t>
            </w:r>
            <w:r w:rsidRPr="00203446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A05313" w:rsidRPr="00203446" w:rsidRDefault="00A05313" w:rsidP="00A053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75 937 201,00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62 958 201,00 </w:t>
            </w:r>
            <w:r w:rsidRPr="00203446">
              <w:rPr>
                <w:sz w:val="28"/>
                <w:szCs w:val="28"/>
              </w:rPr>
              <w:t>рублей - средства районного бюджета;</w:t>
            </w:r>
          </w:p>
          <w:p w:rsidR="00A05313" w:rsidRPr="00203446" w:rsidRDefault="00A05313" w:rsidP="00A0531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 </w:t>
            </w:r>
            <w:r w:rsidRPr="00203446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75 654 537,00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A05313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9F11DA" w:rsidRPr="00203446" w:rsidRDefault="00A05313" w:rsidP="00A05313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62 675 537,00</w:t>
            </w:r>
            <w:r w:rsidRPr="00203446">
              <w:rPr>
                <w:sz w:val="28"/>
                <w:szCs w:val="28"/>
              </w:rPr>
              <w:t xml:space="preserve"> рублей -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F11DA" w:rsidRPr="00320D5D" w:rsidRDefault="009F11DA" w:rsidP="009F11DA">
      <w:pPr>
        <w:jc w:val="center"/>
        <w:rPr>
          <w:sz w:val="28"/>
          <w:szCs w:val="28"/>
        </w:rPr>
      </w:pPr>
    </w:p>
    <w:p w:rsidR="009F11DA" w:rsidRDefault="009F11DA" w:rsidP="009F11DA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9F11DA" w:rsidRPr="004A0AFE" w:rsidRDefault="009F11DA" w:rsidP="009F11DA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9F11DA" w:rsidRPr="004A0AFE" w:rsidRDefault="009F11DA" w:rsidP="009F11DA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1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районе».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и иными нормативными правовыми актами, в следующих формах: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3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При несоблюдении органами местного самоуправления поселений условий предоставления межбюджетных трансфертов из районного бюджета, 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4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финансовое 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Финансовое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9F11DA" w:rsidRPr="00567B96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9F11DA" w:rsidRDefault="009F11DA" w:rsidP="009F11DA">
      <w:pPr>
        <w:jc w:val="center"/>
        <w:rPr>
          <w:sz w:val="28"/>
          <w:szCs w:val="28"/>
        </w:rPr>
      </w:pPr>
    </w:p>
    <w:p w:rsidR="009F11DA" w:rsidRPr="00595E71" w:rsidRDefault="009F11DA" w:rsidP="009F11DA">
      <w:pPr>
        <w:pStyle w:val="a7"/>
        <w:numPr>
          <w:ilvl w:val="1"/>
          <w:numId w:val="3"/>
        </w:numPr>
        <w:jc w:val="center"/>
        <w:rPr>
          <w:sz w:val="28"/>
          <w:szCs w:val="28"/>
        </w:rPr>
      </w:pPr>
      <w:r w:rsidRPr="00595E71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9F11DA" w:rsidRPr="00595E71" w:rsidRDefault="009F11DA" w:rsidP="009F11DA">
      <w:pPr>
        <w:pStyle w:val="a7"/>
        <w:ind w:left="1287"/>
        <w:rPr>
          <w:sz w:val="28"/>
          <w:szCs w:val="28"/>
        </w:rPr>
      </w:pPr>
    </w:p>
    <w:p w:rsidR="009F11DA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>
        <w:rPr>
          <w:sz w:val="28"/>
          <w:szCs w:val="28"/>
        </w:rPr>
        <w:t>о</w:t>
      </w:r>
      <w:r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>
        <w:rPr>
          <w:sz w:val="28"/>
          <w:szCs w:val="28"/>
        </w:rPr>
        <w:t xml:space="preserve">. 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9F11DA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9F11DA" w:rsidRPr="00320D5D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жизнедеятельности муниципального образования</w:t>
      </w:r>
      <w:r w:rsidRPr="00320D5D">
        <w:rPr>
          <w:sz w:val="28"/>
          <w:szCs w:val="28"/>
          <w:lang w:eastAsia="en-US"/>
        </w:rPr>
        <w:t>;</w:t>
      </w:r>
    </w:p>
    <w:p w:rsidR="009F11DA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>
        <w:rPr>
          <w:sz w:val="28"/>
          <w:szCs w:val="28"/>
          <w:lang w:eastAsia="en-US"/>
        </w:rPr>
        <w:t>.</w:t>
      </w:r>
    </w:p>
    <w:p w:rsidR="009F11DA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9F11DA" w:rsidRDefault="009F11DA" w:rsidP="009F11D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поселений, повышает заинтересованность поселений в увеличении собственных доходов местных бюджетов; прозрачности (открытости) межбюджетных отношений.</w:t>
      </w:r>
    </w:p>
    <w:p w:rsidR="009F11DA" w:rsidRPr="00320D5D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муниципальных образований 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Pr="00320D5D">
        <w:rPr>
          <w:sz w:val="28"/>
          <w:szCs w:val="28"/>
          <w:lang w:eastAsia="en-US"/>
        </w:rPr>
        <w:t>;</w:t>
      </w:r>
    </w:p>
    <w:p w:rsidR="009F11DA" w:rsidRDefault="009F11DA" w:rsidP="009F11DA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>
        <w:rPr>
          <w:sz w:val="28"/>
          <w:szCs w:val="28"/>
          <w:lang w:eastAsia="en-US"/>
        </w:rPr>
        <w:t>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lang w:eastAsia="en-US"/>
        </w:rPr>
      </w:pPr>
    </w:p>
    <w:p w:rsidR="009F11DA" w:rsidRPr="00320D5D" w:rsidRDefault="009F11DA" w:rsidP="009F11DA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F11DA" w:rsidRPr="00320D5D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F11DA" w:rsidRPr="00320D5D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9F11DA" w:rsidRDefault="009F11DA" w:rsidP="009F11DA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F11DA" w:rsidRPr="00320D5D" w:rsidRDefault="009F11DA" w:rsidP="009F11DA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F11DA" w:rsidRPr="00320D5D" w:rsidRDefault="009F11DA" w:rsidP="009F11DA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F11DA" w:rsidRPr="00320D5D" w:rsidRDefault="009F11DA" w:rsidP="009F11DA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5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9F11DA" w:rsidRDefault="009F11DA" w:rsidP="009F11DA">
      <w:pPr>
        <w:jc w:val="center"/>
        <w:rPr>
          <w:sz w:val="28"/>
          <w:szCs w:val="28"/>
        </w:rPr>
      </w:pPr>
    </w:p>
    <w:p w:rsidR="009F11DA" w:rsidRPr="002357A3" w:rsidRDefault="009F11DA" w:rsidP="009F11D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u w:val="single"/>
        </w:rPr>
      </w:pPr>
    </w:p>
    <w:p w:rsidR="009F11DA" w:rsidRDefault="009F11DA" w:rsidP="009F11DA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9F11DA" w:rsidRDefault="009F11DA" w:rsidP="009F11DA">
      <w:pPr>
        <w:jc w:val="center"/>
        <w:rPr>
          <w:sz w:val="28"/>
          <w:szCs w:val="28"/>
        </w:rPr>
      </w:pPr>
    </w:p>
    <w:p w:rsidR="009F11DA" w:rsidRPr="00320D5D" w:rsidRDefault="009F11DA" w:rsidP="009F11DA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>
        <w:rPr>
          <w:sz w:val="28"/>
          <w:szCs w:val="28"/>
        </w:rPr>
        <w:t>.6.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9F11DA" w:rsidRPr="00320D5D" w:rsidRDefault="009F11DA" w:rsidP="009F11DA">
      <w:pPr>
        <w:rPr>
          <w:sz w:val="28"/>
          <w:szCs w:val="28"/>
        </w:rPr>
      </w:pPr>
    </w:p>
    <w:p w:rsidR="009F11DA" w:rsidRPr="00320D5D" w:rsidRDefault="00C97D1B" w:rsidP="009F11DA">
      <w:pPr>
        <w:ind w:firstLine="540"/>
        <w:jc w:val="both"/>
        <w:rPr>
          <w:sz w:val="28"/>
          <w:szCs w:val="28"/>
        </w:rPr>
      </w:pPr>
      <w:hyperlink r:id="rId16" w:history="1">
        <w:r w:rsidR="009F11DA" w:rsidRPr="00320D5D">
          <w:rPr>
            <w:sz w:val="28"/>
            <w:szCs w:val="28"/>
          </w:rPr>
          <w:t>Перечень</w:t>
        </w:r>
      </w:hyperlink>
      <w:r w:rsidR="009F11DA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9F11DA" w:rsidRPr="00320D5D" w:rsidRDefault="009F11DA" w:rsidP="009F11DA">
      <w:pPr>
        <w:widowControl/>
        <w:ind w:firstLine="567"/>
        <w:jc w:val="both"/>
        <w:rPr>
          <w:sz w:val="28"/>
          <w:szCs w:val="28"/>
        </w:rPr>
      </w:pPr>
    </w:p>
    <w:p w:rsidR="009F11DA" w:rsidRPr="00320D5D" w:rsidRDefault="009F11DA" w:rsidP="009F11DA">
      <w:pPr>
        <w:widowControl/>
        <w:ind w:firstLine="540"/>
        <w:jc w:val="both"/>
        <w:rPr>
          <w:sz w:val="28"/>
          <w:szCs w:val="28"/>
        </w:rPr>
      </w:pPr>
    </w:p>
    <w:p w:rsidR="009F11DA" w:rsidRPr="00320D5D" w:rsidRDefault="009F11DA" w:rsidP="009F11DA">
      <w:pPr>
        <w:widowControl/>
        <w:ind w:firstLine="567"/>
        <w:jc w:val="center"/>
        <w:rPr>
          <w:sz w:val="28"/>
          <w:szCs w:val="28"/>
        </w:rPr>
      </w:pPr>
    </w:p>
    <w:p w:rsidR="009F11DA" w:rsidRPr="00FA3B69" w:rsidRDefault="009F11DA" w:rsidP="009F11DA">
      <w:pPr>
        <w:widowControl/>
        <w:jc w:val="both"/>
        <w:rPr>
          <w:sz w:val="28"/>
          <w:szCs w:val="28"/>
        </w:rPr>
      </w:pPr>
    </w:p>
    <w:p w:rsidR="009F11DA" w:rsidRPr="00FA3B69" w:rsidRDefault="009F11DA" w:rsidP="009F11DA">
      <w:pPr>
        <w:widowControl/>
        <w:jc w:val="both"/>
        <w:rPr>
          <w:sz w:val="28"/>
          <w:szCs w:val="28"/>
        </w:rPr>
      </w:pPr>
    </w:p>
    <w:p w:rsidR="009F11DA" w:rsidRPr="00FA3B69" w:rsidRDefault="009F11DA" w:rsidP="009F11DA">
      <w:pPr>
        <w:widowControl/>
        <w:jc w:val="both"/>
        <w:rPr>
          <w:sz w:val="28"/>
          <w:szCs w:val="28"/>
        </w:rPr>
      </w:pPr>
    </w:p>
    <w:p w:rsidR="009F11DA" w:rsidRPr="00FA3B69" w:rsidRDefault="009F11DA" w:rsidP="009F11DA"/>
    <w:p w:rsidR="009F11DA" w:rsidRPr="00FA3B69" w:rsidRDefault="009F11DA" w:rsidP="009F11DA"/>
    <w:p w:rsidR="009F11DA" w:rsidRPr="00FA3B69" w:rsidRDefault="009F11DA" w:rsidP="009F11DA"/>
    <w:p w:rsidR="009F11DA" w:rsidRPr="00FA3B69" w:rsidRDefault="009F11DA" w:rsidP="009F11DA">
      <w:pPr>
        <w:widowControl/>
        <w:jc w:val="right"/>
        <w:rPr>
          <w:sz w:val="28"/>
          <w:szCs w:val="28"/>
          <w:lang w:eastAsia="en-US"/>
        </w:rPr>
        <w:sectPr w:rsidR="009F11DA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9F11DA" w:rsidTr="006B79BA">
        <w:tc>
          <w:tcPr>
            <w:tcW w:w="9747" w:type="dxa"/>
          </w:tcPr>
          <w:p w:rsidR="009F11DA" w:rsidRDefault="009F11DA" w:rsidP="006B79BA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9F11DA" w:rsidRPr="00FA3B69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9F11DA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9F11DA" w:rsidRDefault="009F11DA" w:rsidP="009F11DA">
      <w:pPr>
        <w:widowControl/>
        <w:jc w:val="right"/>
        <w:rPr>
          <w:sz w:val="28"/>
          <w:szCs w:val="28"/>
          <w:lang w:eastAsia="en-US"/>
        </w:rPr>
      </w:pPr>
    </w:p>
    <w:p w:rsidR="009F11DA" w:rsidRPr="00320D5D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 п</w:t>
      </w:r>
      <w:r w:rsidRPr="00320D5D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320D5D">
        <w:rPr>
          <w:sz w:val="28"/>
          <w:szCs w:val="28"/>
        </w:rPr>
        <w:t xml:space="preserve"> </w:t>
      </w:r>
    </w:p>
    <w:p w:rsidR="009F11DA" w:rsidRPr="00320D5D" w:rsidRDefault="009F11DA" w:rsidP="009F11D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9F11DA" w:rsidRPr="00FA3B69" w:rsidRDefault="009F11DA" w:rsidP="009F11DA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9F11DA" w:rsidRPr="00567B96" w:rsidTr="006B79BA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9F11DA" w:rsidRPr="00567B96" w:rsidTr="006B79BA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9F11DA" w:rsidRPr="00567B96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2022</w:t>
            </w:r>
          </w:p>
        </w:tc>
      </w:tr>
      <w:tr w:rsidR="009F11DA" w:rsidRPr="00567B96" w:rsidTr="006B79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9F11DA" w:rsidRPr="00567B96" w:rsidTr="006B79BA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9F11DA" w:rsidRPr="00567B96" w:rsidTr="006B79B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E747B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747B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E747B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747B2">
              <w:rPr>
                <w:sz w:val="24"/>
                <w:szCs w:val="24"/>
              </w:rPr>
              <w:t>2</w:t>
            </w:r>
          </w:p>
        </w:tc>
      </w:tr>
      <w:tr w:rsidR="009F11DA" w:rsidRPr="00567B96" w:rsidTr="006B79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E747B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A4B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 w:rsidR="00E747B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A4B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A4B"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</w:tr>
      <w:tr w:rsidR="009F11DA" w:rsidRPr="00567B96" w:rsidTr="006B79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1DA" w:rsidRPr="00567B96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567B96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DA" w:rsidRPr="008A4A4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9F11DA" w:rsidRDefault="009F11DA" w:rsidP="009F11DA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1"/>
      </w:tblGrid>
      <w:tr w:rsidR="009F11DA" w:rsidTr="006B79BA">
        <w:tc>
          <w:tcPr>
            <w:tcW w:w="9464" w:type="dxa"/>
          </w:tcPr>
          <w:p w:rsidR="009F11DA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9F11DA" w:rsidRPr="00FA3B69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9F11DA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9F11DA" w:rsidRDefault="009F11DA" w:rsidP="009F11DA">
      <w:pPr>
        <w:widowControl/>
        <w:rPr>
          <w:sz w:val="28"/>
          <w:szCs w:val="28"/>
          <w:lang w:eastAsia="en-US"/>
        </w:rPr>
      </w:pPr>
    </w:p>
    <w:p w:rsidR="009F11DA" w:rsidRPr="00FA3B69" w:rsidRDefault="009F11DA" w:rsidP="009F11DA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268"/>
        <w:gridCol w:w="1134"/>
        <w:gridCol w:w="709"/>
        <w:gridCol w:w="142"/>
        <w:gridCol w:w="567"/>
        <w:gridCol w:w="142"/>
        <w:gridCol w:w="1275"/>
        <w:gridCol w:w="709"/>
        <w:gridCol w:w="1276"/>
        <w:gridCol w:w="1276"/>
        <w:gridCol w:w="1134"/>
        <w:gridCol w:w="141"/>
        <w:gridCol w:w="1418"/>
        <w:gridCol w:w="2410"/>
      </w:tblGrid>
      <w:tr w:rsidR="009F11DA" w:rsidRPr="00DF29FC" w:rsidTr="006B79BA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gramEnd"/>
            <w:r w:rsidRPr="00DF29F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F11DA" w:rsidRPr="00DF29FC" w:rsidTr="006B79BA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9F11DA" w:rsidRPr="00DF29FC" w:rsidRDefault="009F11DA" w:rsidP="006B79B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11DA" w:rsidRPr="00DF29FC" w:rsidTr="006B79BA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9F11DA" w:rsidRPr="00DF29FC" w:rsidTr="006B79BA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9F11DA" w:rsidRPr="00DF29FC" w:rsidTr="006B79BA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9F11DA" w:rsidRPr="00DF29FC" w:rsidTr="006B79BA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0810081520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22 560 843,00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22 560 843,00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22 560 843,00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67 682 529,00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>
              <w:rPr>
                <w:sz w:val="24"/>
                <w:szCs w:val="24"/>
                <w:lang w:eastAsia="en-US"/>
              </w:rPr>
              <w:t>2,</w:t>
            </w:r>
            <w:r w:rsidR="005A0847">
              <w:rPr>
                <w:sz w:val="24"/>
                <w:szCs w:val="24"/>
                <w:lang w:eastAsia="en-US"/>
              </w:rPr>
              <w:t>6</w:t>
            </w:r>
            <w:r w:rsidRPr="00DF29FC">
              <w:rPr>
                <w:sz w:val="24"/>
                <w:szCs w:val="24"/>
                <w:lang w:eastAsia="en-US"/>
              </w:rPr>
              <w:t xml:space="preserve">  рублей ежегодно</w:t>
            </w:r>
          </w:p>
          <w:p w:rsidR="009F11DA" w:rsidRPr="00DF29FC" w:rsidRDefault="009F11DA" w:rsidP="006B79BA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9F11DA" w:rsidRPr="00DF29FC" w:rsidTr="006B79BA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0810076010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16 223 800,00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12 979 000,00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12 979 000,00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42 181 800,00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>
              <w:rPr>
                <w:sz w:val="24"/>
                <w:szCs w:val="24"/>
                <w:lang w:eastAsia="en-US"/>
              </w:rPr>
              <w:t>2,</w:t>
            </w:r>
            <w:r w:rsidR="005A0847">
              <w:rPr>
                <w:sz w:val="24"/>
                <w:szCs w:val="24"/>
                <w:lang w:eastAsia="en-US"/>
              </w:rPr>
              <w:t>6</w:t>
            </w:r>
            <w:r w:rsidRPr="00DF29FC">
              <w:rPr>
                <w:sz w:val="24"/>
                <w:szCs w:val="24"/>
                <w:lang w:eastAsia="en-US"/>
              </w:rPr>
              <w:t xml:space="preserve">  рублей ежегодно</w:t>
            </w:r>
          </w:p>
          <w:p w:rsidR="009F11DA" w:rsidRPr="00DF29FC" w:rsidRDefault="009F11DA" w:rsidP="006B79BA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9F11DA" w:rsidRPr="00DF29FC" w:rsidRDefault="009F11DA" w:rsidP="006B79BA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11DA" w:rsidRPr="00DF29FC" w:rsidTr="006B79BA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0810081540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5A0847" w:rsidP="005A08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42 113 120</w:t>
            </w:r>
            <w:r w:rsidR="009F11D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5A08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A0847">
              <w:rPr>
                <w:sz w:val="22"/>
                <w:szCs w:val="22"/>
              </w:rPr>
              <w:t> 397 358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5A08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A08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  <w:r w:rsidR="005A0847">
              <w:rPr>
                <w:sz w:val="22"/>
                <w:szCs w:val="22"/>
              </w:rPr>
              <w:t>14 694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2B5D8F" w:rsidRDefault="009F11DA" w:rsidP="005A08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0847">
              <w:rPr>
                <w:sz w:val="22"/>
                <w:szCs w:val="22"/>
              </w:rPr>
              <w:t>22 625 172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9F11DA" w:rsidRPr="00DF29FC" w:rsidTr="006B79BA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2B5D8F" w:rsidRDefault="009F11DA" w:rsidP="006B79BA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9F11DA" w:rsidRPr="00DF29FC" w:rsidTr="006B79BA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2B5D8F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5A0847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>
              <w:rPr>
                <w:sz w:val="24"/>
                <w:szCs w:val="24"/>
                <w:lang w:eastAsia="en-US"/>
              </w:rPr>
              <w:t>9,</w:t>
            </w:r>
            <w:r w:rsidR="005A0847">
              <w:rPr>
                <w:sz w:val="24"/>
                <w:szCs w:val="24"/>
                <w:lang w:eastAsia="en-US"/>
              </w:rPr>
              <w:t>6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>
              <w:rPr>
                <w:sz w:val="24"/>
                <w:szCs w:val="24"/>
                <w:lang w:eastAsia="en-US"/>
              </w:rPr>
              <w:t xml:space="preserve"> 9,5 млн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>
              <w:rPr>
                <w:sz w:val="24"/>
                <w:szCs w:val="24"/>
                <w:lang w:eastAsia="en-US"/>
              </w:rPr>
              <w:t xml:space="preserve">21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>
              <w:rPr>
                <w:sz w:val="24"/>
                <w:szCs w:val="24"/>
                <w:lang w:eastAsia="en-US"/>
              </w:rPr>
              <w:t>9,9</w:t>
            </w:r>
            <w:r w:rsidRPr="00DF29FC">
              <w:rPr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9F11DA" w:rsidRPr="00DF29FC" w:rsidTr="006B79BA">
        <w:trPr>
          <w:trHeight w:val="360"/>
        </w:trPr>
        <w:tc>
          <w:tcPr>
            <w:tcW w:w="15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9F11DA" w:rsidRPr="00DF29FC" w:rsidTr="006B79BA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DF29FC" w:rsidRDefault="009F11DA" w:rsidP="006B79BA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9F11DA" w:rsidRPr="00FA3B69" w:rsidRDefault="009F11DA" w:rsidP="009F11D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9F11DA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9F11DA" w:rsidTr="006B79BA">
        <w:tc>
          <w:tcPr>
            <w:tcW w:w="5637" w:type="dxa"/>
          </w:tcPr>
          <w:p w:rsidR="009F11DA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9F11DA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9F11DA" w:rsidRPr="002357A3" w:rsidRDefault="009F11DA" w:rsidP="006B79BA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9F11DA" w:rsidRDefault="009F11DA" w:rsidP="006B79BA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9F11DA" w:rsidRDefault="009F11DA" w:rsidP="006B79BA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9F11DA" w:rsidRDefault="009F11DA" w:rsidP="006B79BA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9F11DA" w:rsidRPr="002357A3" w:rsidRDefault="009F11DA" w:rsidP="009F11DA">
      <w:pPr>
        <w:rPr>
          <w:sz w:val="28"/>
          <w:szCs w:val="28"/>
        </w:rPr>
      </w:pPr>
    </w:p>
    <w:p w:rsidR="009F11DA" w:rsidRPr="002357A3" w:rsidRDefault="009F11DA" w:rsidP="009F11DA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Подпрограмма </w:t>
      </w:r>
    </w:p>
    <w:p w:rsidR="009F11DA" w:rsidRDefault="009F11DA" w:rsidP="009F11DA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«Обеспечение реализации муниципальной программы и прочие мероприятия»</w:t>
      </w:r>
    </w:p>
    <w:p w:rsidR="009F11DA" w:rsidRPr="002357A3" w:rsidRDefault="009F11DA" w:rsidP="009F11DA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9F11DA" w:rsidRPr="002357A3" w:rsidRDefault="009F11DA" w:rsidP="009F11DA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9F11DA" w:rsidRPr="002357A3" w:rsidRDefault="009F11DA" w:rsidP="009F11DA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9F11DA" w:rsidRPr="002357A3" w:rsidTr="006B79BA">
        <w:trPr>
          <w:trHeight w:val="600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9F11DA" w:rsidRPr="000D4D71" w:rsidRDefault="009F11DA" w:rsidP="006B79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9F11DA" w:rsidRPr="002357A3" w:rsidRDefault="009F11DA" w:rsidP="006B79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11DA" w:rsidRPr="002357A3" w:rsidTr="006B79BA">
        <w:trPr>
          <w:trHeight w:val="600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F11DA" w:rsidRPr="002357A3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9F11DA" w:rsidRPr="002357A3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9F11DA" w:rsidRPr="002357A3" w:rsidTr="006B79BA">
        <w:trPr>
          <w:trHeight w:val="600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F11DA" w:rsidRPr="002357A3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9F11DA" w:rsidRPr="002357A3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9F11DA" w:rsidRPr="002357A3" w:rsidTr="006B79BA">
        <w:trPr>
          <w:trHeight w:val="600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F11DA" w:rsidRPr="000D4D71" w:rsidRDefault="009F11DA" w:rsidP="006B79BA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9F11DA" w:rsidRPr="002357A3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9F11DA" w:rsidRPr="002357A3" w:rsidTr="006B79BA">
        <w:trPr>
          <w:trHeight w:val="600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9F11DA" w:rsidRPr="000D4D71" w:rsidRDefault="009F11DA" w:rsidP="006B79BA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9F11DA" w:rsidRPr="002357A3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9F11DA" w:rsidRPr="002357A3" w:rsidTr="006B79BA">
        <w:trPr>
          <w:trHeight w:val="600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F11DA" w:rsidRPr="002357A3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9F11DA" w:rsidRDefault="009F11DA" w:rsidP="006B79BA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Цель:</w:t>
            </w:r>
          </w:p>
          <w:p w:rsidR="009F11DA" w:rsidRDefault="009F11DA" w:rsidP="006B79BA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F11DA" w:rsidRDefault="009F11DA" w:rsidP="006B79BA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Задачи:</w:t>
            </w:r>
          </w:p>
          <w:p w:rsidR="009F11DA" w:rsidRPr="002357A3" w:rsidRDefault="009F11DA" w:rsidP="006B79BA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9F11DA" w:rsidRPr="002357A3" w:rsidRDefault="009F11DA" w:rsidP="006B79BA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9F11DA" w:rsidRPr="002357A3" w:rsidTr="006B79BA">
        <w:trPr>
          <w:trHeight w:val="416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9F11DA" w:rsidRPr="00EC06BF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9F11DA" w:rsidRDefault="009F11DA" w:rsidP="006B79B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результативности подпрограммы приведены в приложении № 1 к подпрограмме</w:t>
            </w:r>
          </w:p>
          <w:p w:rsidR="009F11DA" w:rsidRPr="002357A3" w:rsidRDefault="009F11DA" w:rsidP="006B79BA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F11DA" w:rsidRPr="002357A3" w:rsidTr="006B79BA">
        <w:trPr>
          <w:trHeight w:val="840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9F11DA" w:rsidRPr="002357A3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9F11DA" w:rsidRPr="002357A3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9F11DA" w:rsidRPr="002357A3" w:rsidTr="006B79BA">
        <w:trPr>
          <w:trHeight w:val="416"/>
        </w:trPr>
        <w:tc>
          <w:tcPr>
            <w:tcW w:w="709" w:type="dxa"/>
            <w:vAlign w:val="center"/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9F11DA" w:rsidRPr="002357A3" w:rsidRDefault="009F11DA" w:rsidP="006B79BA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9F11DA" w:rsidRPr="00D53928" w:rsidRDefault="009F11DA" w:rsidP="006B79B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D8449E" w:rsidRPr="00D53928" w:rsidRDefault="009F11DA" w:rsidP="00D8449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D8449E">
              <w:rPr>
                <w:sz w:val="28"/>
                <w:szCs w:val="28"/>
              </w:rPr>
              <w:t>18 644 971,00</w:t>
            </w:r>
            <w:r w:rsidR="00D8449E" w:rsidRPr="00D53928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D8449E" w:rsidRPr="00D53928" w:rsidRDefault="00D8449E" w:rsidP="00D8449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5392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6 702 161</w:t>
            </w:r>
            <w:r w:rsidRPr="00D539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D8449E" w:rsidRPr="00D53928" w:rsidRDefault="00D8449E" w:rsidP="00D8449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D53928">
              <w:rPr>
                <w:sz w:val="28"/>
                <w:szCs w:val="28"/>
              </w:rPr>
              <w:t xml:space="preserve"> год – 5</w:t>
            </w:r>
            <w:r>
              <w:rPr>
                <w:sz w:val="28"/>
                <w:szCs w:val="28"/>
              </w:rPr>
              <w:t> 971 405</w:t>
            </w:r>
            <w:r w:rsidRPr="00D539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>
              <w:rPr>
                <w:sz w:val="28"/>
                <w:szCs w:val="28"/>
              </w:rPr>
              <w:t>ей</w:t>
            </w:r>
            <w:r w:rsidRPr="00D53928">
              <w:rPr>
                <w:sz w:val="28"/>
                <w:szCs w:val="28"/>
              </w:rPr>
              <w:t>;</w:t>
            </w:r>
          </w:p>
          <w:p w:rsidR="009F11DA" w:rsidRPr="002357A3" w:rsidRDefault="00D8449E" w:rsidP="00D8449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53928">
              <w:rPr>
                <w:sz w:val="28"/>
                <w:szCs w:val="28"/>
              </w:rPr>
              <w:t xml:space="preserve"> год – 5</w:t>
            </w:r>
            <w:r>
              <w:rPr>
                <w:sz w:val="28"/>
                <w:szCs w:val="28"/>
              </w:rPr>
              <w:t> 971 405</w:t>
            </w:r>
            <w:r w:rsidRPr="00D539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>
              <w:rPr>
                <w:sz w:val="28"/>
                <w:szCs w:val="28"/>
              </w:rPr>
              <w:t>ей.</w:t>
            </w:r>
          </w:p>
        </w:tc>
      </w:tr>
    </w:tbl>
    <w:p w:rsidR="009F11DA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F11DA" w:rsidRPr="004A0AFE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9F11DA" w:rsidRPr="002357A3" w:rsidRDefault="009F11DA" w:rsidP="009F11DA">
      <w:pPr>
        <w:jc w:val="center"/>
        <w:rPr>
          <w:sz w:val="28"/>
          <w:szCs w:val="28"/>
        </w:rPr>
      </w:pPr>
    </w:p>
    <w:p w:rsidR="009F11DA" w:rsidRPr="002357A3" w:rsidRDefault="009F11DA" w:rsidP="009F11DA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u w:val="single"/>
        </w:rPr>
      </w:pP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F11DA" w:rsidRPr="002357A3" w:rsidRDefault="009F11DA" w:rsidP="009F11D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9F11DA" w:rsidRPr="002357A3" w:rsidRDefault="009F11DA" w:rsidP="009F11DA">
      <w:pPr>
        <w:ind w:firstLine="709"/>
        <w:jc w:val="center"/>
        <w:rPr>
          <w:sz w:val="28"/>
          <w:szCs w:val="28"/>
        </w:rPr>
      </w:pPr>
    </w:p>
    <w:p w:rsidR="009F11DA" w:rsidRPr="002357A3" w:rsidRDefault="009F11DA" w:rsidP="009F11DA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lang w:eastAsia="en-US"/>
        </w:rPr>
      </w:pPr>
    </w:p>
    <w:p w:rsidR="009F11DA" w:rsidRPr="002357A3" w:rsidRDefault="009F11DA" w:rsidP="009F11DA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Pr="002357A3">
        <w:rPr>
          <w:sz w:val="28"/>
          <w:szCs w:val="28"/>
        </w:rPr>
        <w:t>. Механизм реализации подпрограммы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lang w:eastAsia="en-US"/>
        </w:rPr>
      </w:pP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>
        <w:rPr>
          <w:sz w:val="28"/>
          <w:szCs w:val="28"/>
          <w:lang w:eastAsia="en-US"/>
        </w:rPr>
        <w:t>21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9F11DA" w:rsidRPr="002357A3" w:rsidRDefault="009F11DA" w:rsidP="009F11DA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9F11DA" w:rsidRPr="002357A3" w:rsidRDefault="009F11DA" w:rsidP="009F11DA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Pr="002357A3">
        <w:rPr>
          <w:sz w:val="28"/>
          <w:szCs w:val="28"/>
          <w:lang w:eastAsia="en-US"/>
        </w:rPr>
        <w:t>контроль за</w:t>
      </w:r>
      <w:proofErr w:type="gramEnd"/>
      <w:r w:rsidRPr="002357A3">
        <w:rPr>
          <w:sz w:val="28"/>
          <w:szCs w:val="28"/>
          <w:lang w:eastAsia="en-US"/>
        </w:rPr>
        <w:t xml:space="preserve"> ходом ее выполнения</w:t>
      </w:r>
    </w:p>
    <w:p w:rsidR="009F11DA" w:rsidRPr="002357A3" w:rsidRDefault="009F11DA" w:rsidP="009F11DA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9F11DA" w:rsidRPr="002357A3" w:rsidRDefault="009F11DA" w:rsidP="009F11DA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F11DA" w:rsidRPr="002357A3" w:rsidRDefault="009F11DA" w:rsidP="009F11DA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7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9F11DA" w:rsidRPr="002357A3" w:rsidRDefault="009F11DA" w:rsidP="009F11DA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9F11DA" w:rsidRPr="002357A3" w:rsidRDefault="009F11DA" w:rsidP="009F11D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u w:val="single"/>
        </w:rPr>
      </w:pP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93% в 2020 году, 93% в 2021 году, 93% в 2022 году);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9F11DA" w:rsidRPr="002357A3" w:rsidRDefault="009F11DA" w:rsidP="009F11DA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9F11DA" w:rsidRDefault="009F11DA" w:rsidP="009F11DA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</w:rPr>
      </w:pPr>
    </w:p>
    <w:p w:rsidR="009F11DA" w:rsidRPr="002357A3" w:rsidRDefault="009F11DA" w:rsidP="009F11D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Pr="002357A3">
        <w:rPr>
          <w:sz w:val="28"/>
          <w:szCs w:val="28"/>
        </w:rPr>
        <w:t>. Мероприятия подпрограммы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u w:val="single"/>
        </w:rPr>
      </w:pPr>
    </w:p>
    <w:p w:rsidR="009F11DA" w:rsidRPr="002357A3" w:rsidRDefault="009F11DA" w:rsidP="009F11DA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 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9F11DA" w:rsidRPr="002357A3" w:rsidRDefault="009F11DA" w:rsidP="009F11DA">
      <w:pPr>
        <w:ind w:firstLine="709"/>
        <w:jc w:val="both"/>
        <w:rPr>
          <w:sz w:val="28"/>
          <w:szCs w:val="28"/>
          <w:lang w:eastAsia="en-US"/>
        </w:rPr>
      </w:pPr>
    </w:p>
    <w:p w:rsidR="009F11DA" w:rsidRPr="002357A3" w:rsidRDefault="009F11DA" w:rsidP="009F11DA">
      <w:pPr>
        <w:widowControl/>
        <w:autoSpaceDE/>
        <w:autoSpaceDN/>
        <w:adjustRightInd/>
        <w:rPr>
          <w:sz w:val="28"/>
          <w:szCs w:val="28"/>
        </w:rPr>
      </w:pPr>
    </w:p>
    <w:p w:rsidR="009F11DA" w:rsidRPr="00FA3B69" w:rsidRDefault="009F11DA" w:rsidP="009F11DA">
      <w:pPr>
        <w:widowControl/>
        <w:autoSpaceDE/>
        <w:autoSpaceDN/>
        <w:adjustRightInd/>
        <w:rPr>
          <w:sz w:val="28"/>
          <w:szCs w:val="28"/>
        </w:rPr>
      </w:pPr>
    </w:p>
    <w:p w:rsidR="009F11DA" w:rsidRPr="00FA3B69" w:rsidRDefault="009F11DA" w:rsidP="009F11DA">
      <w:pPr>
        <w:widowControl/>
        <w:autoSpaceDE/>
        <w:autoSpaceDN/>
        <w:adjustRightInd/>
        <w:rPr>
          <w:sz w:val="28"/>
          <w:szCs w:val="28"/>
        </w:rPr>
      </w:pPr>
    </w:p>
    <w:p w:rsidR="009F11DA" w:rsidRPr="00FA3B69" w:rsidRDefault="009F11DA" w:rsidP="009F11DA">
      <w:pPr>
        <w:widowControl/>
        <w:jc w:val="right"/>
        <w:rPr>
          <w:sz w:val="28"/>
          <w:szCs w:val="28"/>
          <w:lang w:eastAsia="en-US"/>
        </w:rPr>
        <w:sectPr w:rsidR="009F11DA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9F11DA" w:rsidTr="006B79BA">
        <w:tc>
          <w:tcPr>
            <w:tcW w:w="9039" w:type="dxa"/>
          </w:tcPr>
          <w:p w:rsidR="009F11DA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9F11DA" w:rsidRPr="00CC7334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9F11DA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9F11DA" w:rsidRDefault="009F11DA" w:rsidP="009F11DA">
      <w:pPr>
        <w:widowControl/>
        <w:rPr>
          <w:sz w:val="24"/>
          <w:szCs w:val="24"/>
          <w:lang w:eastAsia="en-US"/>
        </w:rPr>
      </w:pPr>
    </w:p>
    <w:p w:rsidR="009F11DA" w:rsidRPr="004A0AFE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9F11DA" w:rsidRPr="00FA3B69" w:rsidRDefault="009F11DA" w:rsidP="009F11DA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9F11DA" w:rsidRPr="004A0AFE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9F11DA" w:rsidRDefault="009F11DA" w:rsidP="009F11DA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9F11DA" w:rsidRPr="00CC7334" w:rsidTr="006B79BA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9F11DA" w:rsidRPr="00CC7334" w:rsidTr="006B79BA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2022</w:t>
            </w:r>
          </w:p>
        </w:tc>
      </w:tr>
      <w:tr w:rsidR="009F11DA" w:rsidRPr="00CC7334" w:rsidTr="006B79BA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9F11DA" w:rsidRPr="00CC7334" w:rsidTr="006B79BA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9F11DA" w:rsidRPr="00CC7334" w:rsidTr="006B79BA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F5A1A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F5A1A" w:rsidRDefault="00BD329A" w:rsidP="00BD32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  <w:r w:rsidR="009F11DA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F5A1A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F5A1A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93%</w:t>
            </w:r>
          </w:p>
        </w:tc>
      </w:tr>
      <w:tr w:rsidR="009F11DA" w:rsidRPr="00CC7334" w:rsidTr="006B79BA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9F11DA" w:rsidRPr="00CC7334" w:rsidTr="006B79BA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9F11DA" w:rsidRPr="00CC7334" w:rsidTr="006B79BA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24B5B" w:rsidRDefault="009F11DA" w:rsidP="006B79BA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9F11DA" w:rsidRDefault="009F11DA" w:rsidP="009F11DA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9F11DA" w:rsidTr="006B79BA">
        <w:tc>
          <w:tcPr>
            <w:tcW w:w="8897" w:type="dxa"/>
          </w:tcPr>
          <w:p w:rsidR="009F11DA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9F11DA" w:rsidRPr="00CC7334" w:rsidRDefault="009F11DA" w:rsidP="006B79BA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9F11DA" w:rsidRPr="00CC7334" w:rsidRDefault="009F11DA" w:rsidP="006B79BA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 xml:space="preserve">к подпрограмме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9F11DA" w:rsidRDefault="009F11DA" w:rsidP="006B79BA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9F11DA" w:rsidRDefault="009F11DA" w:rsidP="009F11DA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>
        <w:rPr>
          <w:sz w:val="28"/>
          <w:szCs w:val="28"/>
          <w:lang w:eastAsia="en-US"/>
        </w:rPr>
        <w:t xml:space="preserve"> </w:t>
      </w:r>
    </w:p>
    <w:p w:rsidR="00EC217E" w:rsidRDefault="00EC217E" w:rsidP="00EC217E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</w:p>
    <w:tbl>
      <w:tblPr>
        <w:tblW w:w="1516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560"/>
        <w:gridCol w:w="709"/>
        <w:gridCol w:w="709"/>
        <w:gridCol w:w="1418"/>
        <w:gridCol w:w="709"/>
        <w:gridCol w:w="1417"/>
        <w:gridCol w:w="1275"/>
        <w:gridCol w:w="1276"/>
        <w:gridCol w:w="1276"/>
        <w:gridCol w:w="282"/>
        <w:gridCol w:w="2267"/>
      </w:tblGrid>
      <w:tr w:rsidR="00EC217E" w:rsidRPr="00CC7334" w:rsidTr="00E54438">
        <w:trPr>
          <w:trHeight w:val="6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C217E" w:rsidRPr="00CC7334" w:rsidTr="00E54438">
        <w:trPr>
          <w:trHeight w:val="135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EC217E" w:rsidRPr="00CC7334" w:rsidRDefault="00EC217E" w:rsidP="00E54438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C217E" w:rsidRPr="00CC7334" w:rsidTr="00E54438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EC217E" w:rsidRPr="00CC7334" w:rsidTr="00E54438">
        <w:trPr>
          <w:trHeight w:val="360"/>
        </w:trPr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EC217E" w:rsidRPr="00CC7334" w:rsidTr="00E54438">
        <w:trPr>
          <w:trHeight w:val="360"/>
        </w:trPr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EC217E" w:rsidRPr="00CC7334" w:rsidTr="00E54438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управление в 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6 702 161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18 644 971,00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217E" w:rsidRPr="00CC7334" w:rsidTr="00E54438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6 702 161</w:t>
            </w:r>
            <w:r w:rsidRPr="005B307F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B307F">
              <w:rPr>
                <w:sz w:val="22"/>
                <w:szCs w:val="22"/>
              </w:rPr>
              <w:t>5 971 405,00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5B307F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18 644 971,00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217E" w:rsidRPr="00CC7334" w:rsidTr="00E54438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022 237</w:t>
            </w:r>
            <w:r w:rsidRPr="00FF2A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389</w:t>
            </w:r>
            <w:r w:rsidRPr="00FF2A0D">
              <w:rPr>
                <w:sz w:val="22"/>
                <w:szCs w:val="22"/>
              </w:rPr>
              <w:t> 405,00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389</w:t>
            </w:r>
            <w:r w:rsidRPr="00FF2A0D">
              <w:rPr>
                <w:sz w:val="22"/>
                <w:szCs w:val="22"/>
              </w:rPr>
              <w:t> 405,00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431 347,92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217E" w:rsidRPr="00CC7334" w:rsidTr="00E54438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1 049 623,08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82</w:t>
            </w:r>
            <w:r w:rsidRPr="00FF2A0D">
              <w:rPr>
                <w:sz w:val="22"/>
                <w:szCs w:val="22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82</w:t>
            </w:r>
            <w:r w:rsidRPr="00FF2A0D">
              <w:rPr>
                <w:sz w:val="22"/>
                <w:szCs w:val="22"/>
              </w:rPr>
              <w:t> 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2 213 623,08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217E" w:rsidRPr="00CC7334" w:rsidTr="00E54438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10350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43 735,00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43 735,00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217E" w:rsidRPr="00CC7334" w:rsidTr="00E54438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CC733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586 565,00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FF2A0D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586 565,00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C217E" w:rsidRPr="00CC7334" w:rsidTr="00E54438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15 ноября </w:t>
            </w:r>
            <w:proofErr w:type="gramEnd"/>
          </w:p>
        </w:tc>
      </w:tr>
      <w:tr w:rsidR="00EC217E" w:rsidRPr="00CC7334" w:rsidTr="00E54438">
        <w:trPr>
          <w:trHeight w:val="1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1 мая текущего года соответственно);</w:t>
            </w:r>
          </w:p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объема безвозмездных поступлений в соответствии с требованиями Бюджетного кодекса Российской Федерации </w:t>
            </w:r>
            <w:proofErr w:type="gramEnd"/>
          </w:p>
        </w:tc>
      </w:tr>
      <w:tr w:rsidR="00EC217E" w:rsidRPr="00CC7334" w:rsidTr="00E54438">
        <w:trPr>
          <w:trHeight w:val="3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Default="00EC217E" w:rsidP="00E544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gramStart"/>
            <w:r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EC217E" w:rsidRPr="00CC7334" w:rsidTr="00E5443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Исполнение районного бюджета по доходам без учета безвозмездных поступлений к </w:t>
            </w:r>
            <w:r w:rsidRPr="00CC7334">
              <w:rPr>
                <w:sz w:val="24"/>
                <w:szCs w:val="24"/>
              </w:rPr>
              <w:lastRenderedPageBreak/>
              <w:t>первоначально утвержденному уровню (от 85% до 115 %) ежегодно.</w:t>
            </w:r>
          </w:p>
        </w:tc>
      </w:tr>
      <w:tr w:rsidR="00EC217E" w:rsidRPr="00CC7334" w:rsidTr="00E544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 xml:space="preserve"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положения государственных (муниципальных)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9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C217E" w:rsidRPr="00CC7334" w:rsidTr="00E5443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EC217E" w:rsidRPr="00CC7334" w:rsidTr="00E5443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Default="00EC217E" w:rsidP="00E5443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EC217E" w:rsidRPr="00CC7334" w:rsidTr="00E54438">
        <w:trPr>
          <w:trHeight w:val="300"/>
        </w:trPr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EC217E" w:rsidRPr="00CC7334" w:rsidTr="00E5443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>
              <w:rPr>
                <w:sz w:val="24"/>
                <w:szCs w:val="24"/>
              </w:rPr>
              <w:t xml:space="preserve">Наполнение и поддержание в актуальном состоянии рубрики "Открытый бюджет", созданной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Pr="001E2F9C">
                <w:rPr>
                  <w:rStyle w:val="a5"/>
                  <w:bCs/>
                  <w:sz w:val="24"/>
                  <w:szCs w:val="24"/>
                </w:rPr>
                <w:t>www.idra-</w:t>
              </w:r>
              <w:r w:rsidRPr="001E2F9C">
                <w:rPr>
                  <w:rStyle w:val="a5"/>
                  <w:sz w:val="24"/>
                  <w:szCs w:val="24"/>
                </w:rPr>
                <w:t xml:space="preserve"> </w:t>
              </w:r>
              <w:r w:rsidRPr="001E2F9C">
                <w:rPr>
                  <w:rStyle w:val="a5"/>
                  <w:bCs/>
                  <w:sz w:val="24"/>
                  <w:szCs w:val="24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17E" w:rsidRPr="00CC7334" w:rsidRDefault="00EC217E" w:rsidP="00E54438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Pr="001E2F9C">
                <w:rPr>
                  <w:rStyle w:val="a5"/>
                  <w:bCs/>
                  <w:sz w:val="24"/>
                  <w:szCs w:val="24"/>
                </w:rPr>
                <w:t>www.idra-</w:t>
              </w:r>
              <w:r w:rsidRPr="001E2F9C">
                <w:rPr>
                  <w:rStyle w:val="a5"/>
                  <w:sz w:val="24"/>
                  <w:szCs w:val="24"/>
                </w:rPr>
                <w:t xml:space="preserve"> </w:t>
              </w:r>
              <w:r w:rsidRPr="001E2F9C">
                <w:rPr>
                  <w:rStyle w:val="a5"/>
                  <w:bCs/>
                  <w:sz w:val="24"/>
                  <w:szCs w:val="24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EC217E" w:rsidRPr="00FA3B69" w:rsidRDefault="00EC217E" w:rsidP="00EC217E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EC217E" w:rsidRDefault="00EC217E" w:rsidP="009F11DA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</w:p>
    <w:p w:rsidR="009F11DA" w:rsidRPr="00FA3B69" w:rsidRDefault="009F11DA" w:rsidP="009F11DA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9F11DA" w:rsidRPr="00FA3B69" w:rsidRDefault="009F11DA" w:rsidP="009F11DA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9F11DA" w:rsidRPr="00FA3B69" w:rsidRDefault="009F11DA" w:rsidP="009F11DA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9F11DA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9F11DA" w:rsidTr="006B79BA">
        <w:tc>
          <w:tcPr>
            <w:tcW w:w="5920" w:type="dxa"/>
          </w:tcPr>
          <w:p w:rsidR="009F11DA" w:rsidRDefault="009F11DA" w:rsidP="006B79BA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9F11DA" w:rsidRPr="002357A3" w:rsidRDefault="009F11DA" w:rsidP="006B79BA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9F11DA" w:rsidRPr="002357A3" w:rsidRDefault="009F11DA" w:rsidP="006B79BA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9F11DA" w:rsidRPr="002357A3" w:rsidRDefault="009F11DA" w:rsidP="006B79BA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9F11DA" w:rsidRPr="002357A3" w:rsidRDefault="009F11DA" w:rsidP="006B79BA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9F11DA" w:rsidRDefault="009F11DA" w:rsidP="006B79BA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9F11DA" w:rsidRDefault="009F11DA" w:rsidP="009F11DA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</w:p>
    <w:p w:rsidR="009F11DA" w:rsidRPr="002357A3" w:rsidRDefault="009F11DA" w:rsidP="009F11DA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245"/>
      </w:tblGrid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C6F20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2357A3" w:rsidRDefault="009F11DA" w:rsidP="006B7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DC6F20" w:rsidRDefault="009F11DA" w:rsidP="006B79BA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2357A3" w:rsidRDefault="009F11DA" w:rsidP="006B79BA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Цель:</w:t>
            </w:r>
          </w:p>
          <w:p w:rsidR="009F11DA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F11DA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306373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приведены в приложении № 1 к подпрограмме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F11DA" w:rsidRPr="002357A3" w:rsidTr="00EC21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AF1FF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306373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905696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EC217E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</w:p>
          <w:p w:rsidR="009F11DA" w:rsidRPr="00905696" w:rsidRDefault="00EC217E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4 000</w:t>
            </w:r>
            <w:r w:rsidR="009F11DA"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F11DA"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F11DA"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9F11DA" w:rsidRPr="00905696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EC217E">
              <w:rPr>
                <w:rFonts w:ascii="Times New Roman" w:eastAsia="Times New Roman" w:hAnsi="Times New Roman"/>
                <w:sz w:val="28"/>
                <w:szCs w:val="28"/>
              </w:rPr>
              <w:t>4 00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0,00 рублей;</w:t>
            </w:r>
          </w:p>
          <w:p w:rsidR="009F11DA" w:rsidRPr="00905696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- 0,00 рублей;</w:t>
            </w:r>
          </w:p>
          <w:p w:rsidR="009F11DA" w:rsidRPr="00905696" w:rsidRDefault="009F11DA" w:rsidP="006B79B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- 0,00 рублей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9F11DA" w:rsidRPr="002357A3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9F11DA" w:rsidRPr="002357A3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>
        <w:rPr>
          <w:rFonts w:ascii="Times New Roman" w:hAnsi="Times New Roman"/>
          <w:sz w:val="28"/>
          <w:szCs w:val="28"/>
        </w:rPr>
        <w:t xml:space="preserve">, этапы </w:t>
      </w:r>
      <w:r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9F11DA" w:rsidRPr="00CC7334" w:rsidRDefault="00C97D1B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9F11DA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9F11DA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1 к подпрограмме.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2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9F11DA" w:rsidRPr="00CC7334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9F11DA" w:rsidRPr="002357A3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9F11DA" w:rsidRPr="002357A3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9F11DA" w:rsidRPr="002357A3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9F11DA" w:rsidRPr="002357A3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9F11DA" w:rsidRPr="002357A3" w:rsidRDefault="009F11DA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CC7334" w:rsidRDefault="00C97D1B" w:rsidP="009F11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9F11DA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9F11DA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2357A3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9F11DA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9F11DA" w:rsidTr="006B79BA">
        <w:tc>
          <w:tcPr>
            <w:tcW w:w="9464" w:type="dxa"/>
          </w:tcPr>
          <w:p w:rsidR="009F11DA" w:rsidRDefault="009F11DA" w:rsidP="006B79BA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F11DA" w:rsidRPr="00FA3B69" w:rsidRDefault="009F11DA" w:rsidP="006B79BA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F11DA" w:rsidRPr="00FA3B69" w:rsidRDefault="009F11DA" w:rsidP="006B79B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</w:p>
          <w:p w:rsidR="009F11DA" w:rsidRPr="00FA3B69" w:rsidRDefault="009F11DA" w:rsidP="006B79B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9F11DA" w:rsidRDefault="009F11DA" w:rsidP="006B79B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9F11DA" w:rsidRDefault="009F11DA" w:rsidP="009F11DA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9F11DA" w:rsidRPr="004A0AFE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</w:p>
    <w:p w:rsidR="009F11DA" w:rsidRPr="006655E8" w:rsidRDefault="009F11DA" w:rsidP="009F11D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9F11DA" w:rsidRPr="004A0AFE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9F11DA" w:rsidRPr="00FA3B69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9F11DA" w:rsidRPr="00CC7334" w:rsidTr="006B79BA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11DA" w:rsidRPr="00CC7334" w:rsidRDefault="009F11DA" w:rsidP="006B79B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9F11DA" w:rsidRPr="00CC7334" w:rsidTr="006B79BA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2022</w:t>
            </w:r>
          </w:p>
        </w:tc>
      </w:tr>
      <w:tr w:rsidR="009F11DA" w:rsidRPr="00CC7334" w:rsidTr="006B79BA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9F11DA" w:rsidRPr="00CC7334" w:rsidTr="006B79BA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9F11DA" w:rsidRPr="00CC7334" w:rsidTr="006B79BA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F11DA" w:rsidRPr="00CC7334" w:rsidTr="006B79BA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F11DA" w:rsidRPr="00CC7334" w:rsidTr="006B79BA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F11DA" w:rsidRPr="00CC7334" w:rsidTr="006B79BA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CC7334" w:rsidRDefault="009F11DA" w:rsidP="006B79BA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650B03" w:rsidRDefault="009F11DA" w:rsidP="006B79BA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9F11DA" w:rsidRPr="00FA3B69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Pr="00962D6E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9F11DA" w:rsidTr="006B79BA">
        <w:tc>
          <w:tcPr>
            <w:tcW w:w="9889" w:type="dxa"/>
          </w:tcPr>
          <w:p w:rsidR="009F11DA" w:rsidRDefault="009F11DA" w:rsidP="006B79B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F11DA" w:rsidRPr="00FA3B69" w:rsidRDefault="009F11DA" w:rsidP="006B79BA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F11DA" w:rsidRDefault="009F11DA" w:rsidP="006B79B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9F11DA" w:rsidRPr="00FA3B69" w:rsidRDefault="009F11DA" w:rsidP="009F11DA">
      <w:pPr>
        <w:pStyle w:val="ConsPlusNormal"/>
        <w:rPr>
          <w:rFonts w:ascii="Times New Roman" w:hAnsi="Times New Roman"/>
          <w:sz w:val="28"/>
          <w:szCs w:val="28"/>
        </w:rPr>
      </w:pPr>
    </w:p>
    <w:p w:rsidR="009F11DA" w:rsidRPr="00FA3B69" w:rsidRDefault="009F11DA" w:rsidP="009F11D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11DA" w:rsidRPr="00FA3B69" w:rsidRDefault="009F11DA" w:rsidP="009F11D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38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694"/>
        <w:gridCol w:w="1417"/>
        <w:gridCol w:w="709"/>
        <w:gridCol w:w="886"/>
        <w:gridCol w:w="1416"/>
        <w:gridCol w:w="623"/>
        <w:gridCol w:w="1135"/>
        <w:gridCol w:w="49"/>
        <w:gridCol w:w="991"/>
        <w:gridCol w:w="1086"/>
        <w:gridCol w:w="1370"/>
        <w:gridCol w:w="2423"/>
      </w:tblGrid>
      <w:tr w:rsidR="009F11DA" w:rsidRPr="008B09DC" w:rsidTr="006B79BA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gramEnd"/>
            <w:r w:rsidRPr="008B09DC">
              <w:rPr>
                <w:sz w:val="24"/>
                <w:szCs w:val="24"/>
              </w:rPr>
              <w:t>/п</w:t>
            </w:r>
          </w:p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F11DA" w:rsidRPr="008B09DC" w:rsidTr="006B79BA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F11DA" w:rsidRPr="008B09DC" w:rsidRDefault="009F11DA" w:rsidP="006B79B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9F11DA" w:rsidRPr="008B09DC" w:rsidRDefault="009F11DA" w:rsidP="006B79BA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</w:p>
        </w:tc>
      </w:tr>
      <w:tr w:rsidR="009F11DA" w:rsidRPr="008B09DC" w:rsidTr="006B7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9F11DA" w:rsidRPr="008B09DC" w:rsidTr="006B79BA">
        <w:trPr>
          <w:trHeight w:val="315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подпрограммы. Эффективное управление муниципальным долгом Идринского района</w:t>
            </w:r>
          </w:p>
        </w:tc>
      </w:tr>
      <w:tr w:rsidR="009F11DA" w:rsidRPr="008B09DC" w:rsidTr="006B79BA">
        <w:trPr>
          <w:trHeight w:val="453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9F11DA" w:rsidRPr="008B09DC" w:rsidTr="006B79BA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9F11DA" w:rsidRPr="008B09DC" w:rsidTr="006B79BA">
        <w:trPr>
          <w:trHeight w:val="750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9F11DA" w:rsidRPr="008B09DC" w:rsidTr="006B79BA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C97D1B" w:rsidP="006B79BA">
            <w:pPr>
              <w:rPr>
                <w:sz w:val="24"/>
                <w:szCs w:val="24"/>
                <w:u w:val="single"/>
              </w:rPr>
            </w:pPr>
            <w:hyperlink r:id="rId23" w:history="1">
              <w:r w:rsidR="009F11DA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9F11DA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C97D1B" w:rsidP="006B79BA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9F11DA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9F11DA" w:rsidRPr="008B09DC" w:rsidTr="006B79BA">
        <w:trPr>
          <w:trHeight w:val="315"/>
        </w:trPr>
        <w:tc>
          <w:tcPr>
            <w:tcW w:w="15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9F11DA" w:rsidRPr="008B09DC" w:rsidTr="006B79BA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8B09DC">
              <w:rPr>
                <w:sz w:val="24"/>
                <w:szCs w:val="24"/>
              </w:rPr>
              <w:t>30080140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D34C28" w:rsidP="006B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</w:t>
            </w:r>
            <w:r w:rsidR="009F11DA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D34C28" w:rsidP="006B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</w:t>
            </w:r>
            <w:r w:rsidR="009F11DA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9F11DA" w:rsidRPr="008B09DC" w:rsidTr="006B79BA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9F11DA" w:rsidRPr="008B09DC" w:rsidTr="006B79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9F11DA" w:rsidRPr="008B09DC" w:rsidTr="006B79B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861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1301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8B09DC">
              <w:rPr>
                <w:sz w:val="24"/>
                <w:szCs w:val="24"/>
              </w:rPr>
              <w:t>30080140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D34C28" w:rsidP="006B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</w:t>
            </w:r>
            <w:r w:rsidR="009F11DA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D34C28" w:rsidP="006B7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</w:t>
            </w:r>
            <w:r w:rsidR="009F11DA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DA" w:rsidRPr="008B09DC" w:rsidRDefault="009F11DA" w:rsidP="006B79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6B64" w:rsidRDefault="00346B64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A05313" w:rsidRDefault="00A05313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A05313" w:rsidRDefault="00A05313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6E4856" w:rsidRDefault="006E4856" w:rsidP="004F5C1B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6E4856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BA" w:rsidRDefault="006B79BA">
      <w:r>
        <w:separator/>
      </w:r>
    </w:p>
  </w:endnote>
  <w:endnote w:type="continuationSeparator" w:id="0">
    <w:p w:rsidR="006B79BA" w:rsidRDefault="006B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BA" w:rsidRDefault="006B79BA">
      <w:r>
        <w:separator/>
      </w:r>
    </w:p>
  </w:footnote>
  <w:footnote w:type="continuationSeparator" w:id="0">
    <w:p w:rsidR="006B79BA" w:rsidRDefault="006B7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7E7"/>
    <w:multiLevelType w:val="multilevel"/>
    <w:tmpl w:val="BFB876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68DF"/>
    <w:rsid w:val="00032248"/>
    <w:rsid w:val="00032894"/>
    <w:rsid w:val="00032C32"/>
    <w:rsid w:val="00043970"/>
    <w:rsid w:val="00050B99"/>
    <w:rsid w:val="00065090"/>
    <w:rsid w:val="00070CBE"/>
    <w:rsid w:val="00070F6D"/>
    <w:rsid w:val="00072AB6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EC4"/>
    <w:rsid w:val="000B393F"/>
    <w:rsid w:val="000B41D2"/>
    <w:rsid w:val="000B6A11"/>
    <w:rsid w:val="000C18A6"/>
    <w:rsid w:val="000C3F17"/>
    <w:rsid w:val="000C4EAC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7B9E"/>
    <w:rsid w:val="000F3001"/>
    <w:rsid w:val="000F6E76"/>
    <w:rsid w:val="00101024"/>
    <w:rsid w:val="001048CD"/>
    <w:rsid w:val="00110BC9"/>
    <w:rsid w:val="001128B3"/>
    <w:rsid w:val="00115478"/>
    <w:rsid w:val="00117722"/>
    <w:rsid w:val="00117755"/>
    <w:rsid w:val="00117E5D"/>
    <w:rsid w:val="00121908"/>
    <w:rsid w:val="00122C96"/>
    <w:rsid w:val="00124BF7"/>
    <w:rsid w:val="001263A6"/>
    <w:rsid w:val="00130A65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717"/>
    <w:rsid w:val="0015608F"/>
    <w:rsid w:val="001563A5"/>
    <w:rsid w:val="00156829"/>
    <w:rsid w:val="00156F9B"/>
    <w:rsid w:val="00162D59"/>
    <w:rsid w:val="00165624"/>
    <w:rsid w:val="001662CF"/>
    <w:rsid w:val="001677D8"/>
    <w:rsid w:val="00167D1D"/>
    <w:rsid w:val="00170B67"/>
    <w:rsid w:val="00173E6E"/>
    <w:rsid w:val="0017478A"/>
    <w:rsid w:val="001774FA"/>
    <w:rsid w:val="00181908"/>
    <w:rsid w:val="00183520"/>
    <w:rsid w:val="0018419E"/>
    <w:rsid w:val="00187303"/>
    <w:rsid w:val="00187965"/>
    <w:rsid w:val="001943D2"/>
    <w:rsid w:val="00196D41"/>
    <w:rsid w:val="001A117C"/>
    <w:rsid w:val="001A11A9"/>
    <w:rsid w:val="001A2429"/>
    <w:rsid w:val="001A70F2"/>
    <w:rsid w:val="001B026A"/>
    <w:rsid w:val="001B3564"/>
    <w:rsid w:val="001B4341"/>
    <w:rsid w:val="001B49DD"/>
    <w:rsid w:val="001B6762"/>
    <w:rsid w:val="001B719C"/>
    <w:rsid w:val="001C10EC"/>
    <w:rsid w:val="001C526C"/>
    <w:rsid w:val="001C5FB6"/>
    <w:rsid w:val="001D4446"/>
    <w:rsid w:val="001D4DF5"/>
    <w:rsid w:val="001D6A9D"/>
    <w:rsid w:val="001E2108"/>
    <w:rsid w:val="001E287D"/>
    <w:rsid w:val="001E4A6A"/>
    <w:rsid w:val="001F0755"/>
    <w:rsid w:val="001F1291"/>
    <w:rsid w:val="001F1FC8"/>
    <w:rsid w:val="001F3B6F"/>
    <w:rsid w:val="001F796F"/>
    <w:rsid w:val="001F7E9F"/>
    <w:rsid w:val="00203446"/>
    <w:rsid w:val="002062C9"/>
    <w:rsid w:val="00210708"/>
    <w:rsid w:val="00211DCC"/>
    <w:rsid w:val="00221969"/>
    <w:rsid w:val="002233A7"/>
    <w:rsid w:val="0023111C"/>
    <w:rsid w:val="0023384D"/>
    <w:rsid w:val="002357A3"/>
    <w:rsid w:val="00242F57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1A9"/>
    <w:rsid w:val="00281F5C"/>
    <w:rsid w:val="00283CD8"/>
    <w:rsid w:val="0028561C"/>
    <w:rsid w:val="00285D85"/>
    <w:rsid w:val="002A0C9F"/>
    <w:rsid w:val="002A25D5"/>
    <w:rsid w:val="002A3174"/>
    <w:rsid w:val="002A3D06"/>
    <w:rsid w:val="002B0738"/>
    <w:rsid w:val="002B18C7"/>
    <w:rsid w:val="002B20BF"/>
    <w:rsid w:val="002B5472"/>
    <w:rsid w:val="002B5D8F"/>
    <w:rsid w:val="002B77B0"/>
    <w:rsid w:val="002C08CE"/>
    <w:rsid w:val="002C4578"/>
    <w:rsid w:val="002C4609"/>
    <w:rsid w:val="002D0F24"/>
    <w:rsid w:val="002D30EA"/>
    <w:rsid w:val="002D3BE7"/>
    <w:rsid w:val="002D7D7B"/>
    <w:rsid w:val="002E336C"/>
    <w:rsid w:val="002E76A8"/>
    <w:rsid w:val="002E7D41"/>
    <w:rsid w:val="002F0327"/>
    <w:rsid w:val="002F3F6D"/>
    <w:rsid w:val="002F446D"/>
    <w:rsid w:val="002F46A8"/>
    <w:rsid w:val="002F552F"/>
    <w:rsid w:val="00306373"/>
    <w:rsid w:val="00306F45"/>
    <w:rsid w:val="00320D5D"/>
    <w:rsid w:val="00324369"/>
    <w:rsid w:val="003244BB"/>
    <w:rsid w:val="00325BB6"/>
    <w:rsid w:val="0033008B"/>
    <w:rsid w:val="003316A3"/>
    <w:rsid w:val="0033182F"/>
    <w:rsid w:val="003326A7"/>
    <w:rsid w:val="0033280A"/>
    <w:rsid w:val="00337F55"/>
    <w:rsid w:val="003416CA"/>
    <w:rsid w:val="00341D69"/>
    <w:rsid w:val="00343988"/>
    <w:rsid w:val="00346B64"/>
    <w:rsid w:val="00346E2C"/>
    <w:rsid w:val="0034784E"/>
    <w:rsid w:val="00347943"/>
    <w:rsid w:val="00353472"/>
    <w:rsid w:val="00355689"/>
    <w:rsid w:val="0035642D"/>
    <w:rsid w:val="00357D7E"/>
    <w:rsid w:val="00360182"/>
    <w:rsid w:val="0036128F"/>
    <w:rsid w:val="00363D2E"/>
    <w:rsid w:val="00364909"/>
    <w:rsid w:val="0037036A"/>
    <w:rsid w:val="003715C1"/>
    <w:rsid w:val="003743AE"/>
    <w:rsid w:val="00377120"/>
    <w:rsid w:val="00377B7B"/>
    <w:rsid w:val="003801B7"/>
    <w:rsid w:val="0038094D"/>
    <w:rsid w:val="00386286"/>
    <w:rsid w:val="00393150"/>
    <w:rsid w:val="003A0FB4"/>
    <w:rsid w:val="003A37CB"/>
    <w:rsid w:val="003A3B02"/>
    <w:rsid w:val="003A6DB0"/>
    <w:rsid w:val="003A7322"/>
    <w:rsid w:val="003A7D1F"/>
    <w:rsid w:val="003B1603"/>
    <w:rsid w:val="003B1DC8"/>
    <w:rsid w:val="003B60A2"/>
    <w:rsid w:val="003B6382"/>
    <w:rsid w:val="003B70AB"/>
    <w:rsid w:val="003C007C"/>
    <w:rsid w:val="003C2D56"/>
    <w:rsid w:val="003C3E56"/>
    <w:rsid w:val="003C4941"/>
    <w:rsid w:val="003C4AFB"/>
    <w:rsid w:val="003D4A47"/>
    <w:rsid w:val="003D5AE7"/>
    <w:rsid w:val="003E4918"/>
    <w:rsid w:val="003F007C"/>
    <w:rsid w:val="003F25AB"/>
    <w:rsid w:val="003F6469"/>
    <w:rsid w:val="003F70DB"/>
    <w:rsid w:val="00403540"/>
    <w:rsid w:val="00413008"/>
    <w:rsid w:val="00414FF6"/>
    <w:rsid w:val="00416F90"/>
    <w:rsid w:val="00417935"/>
    <w:rsid w:val="00420E88"/>
    <w:rsid w:val="0042511B"/>
    <w:rsid w:val="00426286"/>
    <w:rsid w:val="0043100B"/>
    <w:rsid w:val="00432779"/>
    <w:rsid w:val="00433473"/>
    <w:rsid w:val="0044264C"/>
    <w:rsid w:val="00445411"/>
    <w:rsid w:val="00446787"/>
    <w:rsid w:val="0045013B"/>
    <w:rsid w:val="004527F2"/>
    <w:rsid w:val="00452A81"/>
    <w:rsid w:val="00457670"/>
    <w:rsid w:val="00460A57"/>
    <w:rsid w:val="004625E1"/>
    <w:rsid w:val="0047054C"/>
    <w:rsid w:val="004746E5"/>
    <w:rsid w:val="00475076"/>
    <w:rsid w:val="00475643"/>
    <w:rsid w:val="00476799"/>
    <w:rsid w:val="004776EA"/>
    <w:rsid w:val="00481E1F"/>
    <w:rsid w:val="00482069"/>
    <w:rsid w:val="00484EF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4004"/>
    <w:rsid w:val="004B60DE"/>
    <w:rsid w:val="004C0243"/>
    <w:rsid w:val="004C457B"/>
    <w:rsid w:val="004C4C1B"/>
    <w:rsid w:val="004C6366"/>
    <w:rsid w:val="004D1064"/>
    <w:rsid w:val="004E23F5"/>
    <w:rsid w:val="004E31FC"/>
    <w:rsid w:val="004E37CF"/>
    <w:rsid w:val="004E7A5E"/>
    <w:rsid w:val="004F255B"/>
    <w:rsid w:val="004F4C57"/>
    <w:rsid w:val="004F5B46"/>
    <w:rsid w:val="004F5C1B"/>
    <w:rsid w:val="004F7966"/>
    <w:rsid w:val="0050036A"/>
    <w:rsid w:val="00500847"/>
    <w:rsid w:val="0050349D"/>
    <w:rsid w:val="0051070B"/>
    <w:rsid w:val="00512095"/>
    <w:rsid w:val="00512B48"/>
    <w:rsid w:val="005160A7"/>
    <w:rsid w:val="00517966"/>
    <w:rsid w:val="00517DEB"/>
    <w:rsid w:val="00521750"/>
    <w:rsid w:val="00525632"/>
    <w:rsid w:val="0052689E"/>
    <w:rsid w:val="0053361C"/>
    <w:rsid w:val="00535052"/>
    <w:rsid w:val="005362AC"/>
    <w:rsid w:val="005376C0"/>
    <w:rsid w:val="00547A48"/>
    <w:rsid w:val="005500EE"/>
    <w:rsid w:val="00550777"/>
    <w:rsid w:val="00553EEF"/>
    <w:rsid w:val="00556AC2"/>
    <w:rsid w:val="005621D7"/>
    <w:rsid w:val="00562FDB"/>
    <w:rsid w:val="00563037"/>
    <w:rsid w:val="00565782"/>
    <w:rsid w:val="00567B96"/>
    <w:rsid w:val="00570922"/>
    <w:rsid w:val="00580103"/>
    <w:rsid w:val="00580FE0"/>
    <w:rsid w:val="00590F3F"/>
    <w:rsid w:val="00592EB7"/>
    <w:rsid w:val="00594510"/>
    <w:rsid w:val="0059486F"/>
    <w:rsid w:val="00595531"/>
    <w:rsid w:val="00595E71"/>
    <w:rsid w:val="005A0847"/>
    <w:rsid w:val="005A11AA"/>
    <w:rsid w:val="005A14A6"/>
    <w:rsid w:val="005A2748"/>
    <w:rsid w:val="005B1044"/>
    <w:rsid w:val="005B1AF5"/>
    <w:rsid w:val="005B307F"/>
    <w:rsid w:val="005B7945"/>
    <w:rsid w:val="005C4032"/>
    <w:rsid w:val="005C74ED"/>
    <w:rsid w:val="005D4579"/>
    <w:rsid w:val="005E43D4"/>
    <w:rsid w:val="005E45BB"/>
    <w:rsid w:val="006004A5"/>
    <w:rsid w:val="00602CB8"/>
    <w:rsid w:val="00603753"/>
    <w:rsid w:val="00610E9E"/>
    <w:rsid w:val="00617991"/>
    <w:rsid w:val="0062254B"/>
    <w:rsid w:val="00627938"/>
    <w:rsid w:val="00627F15"/>
    <w:rsid w:val="0063072F"/>
    <w:rsid w:val="006321C3"/>
    <w:rsid w:val="00633565"/>
    <w:rsid w:val="006340CA"/>
    <w:rsid w:val="00635774"/>
    <w:rsid w:val="0064113B"/>
    <w:rsid w:val="0064432E"/>
    <w:rsid w:val="00644613"/>
    <w:rsid w:val="00645CF5"/>
    <w:rsid w:val="006464BD"/>
    <w:rsid w:val="00650B03"/>
    <w:rsid w:val="00653B08"/>
    <w:rsid w:val="00657101"/>
    <w:rsid w:val="006604B8"/>
    <w:rsid w:val="00660736"/>
    <w:rsid w:val="00664D8A"/>
    <w:rsid w:val="00664FD8"/>
    <w:rsid w:val="00665C50"/>
    <w:rsid w:val="00666266"/>
    <w:rsid w:val="006670CF"/>
    <w:rsid w:val="00667DC8"/>
    <w:rsid w:val="0067128B"/>
    <w:rsid w:val="00671ABD"/>
    <w:rsid w:val="00677A6D"/>
    <w:rsid w:val="006807E1"/>
    <w:rsid w:val="0068624B"/>
    <w:rsid w:val="0068638A"/>
    <w:rsid w:val="006904B8"/>
    <w:rsid w:val="00692F4A"/>
    <w:rsid w:val="006A0AE2"/>
    <w:rsid w:val="006A0DB6"/>
    <w:rsid w:val="006A1BAE"/>
    <w:rsid w:val="006A7389"/>
    <w:rsid w:val="006B08E3"/>
    <w:rsid w:val="006B3FFF"/>
    <w:rsid w:val="006B79BA"/>
    <w:rsid w:val="006C78DE"/>
    <w:rsid w:val="006D0E5F"/>
    <w:rsid w:val="006D2508"/>
    <w:rsid w:val="006D359C"/>
    <w:rsid w:val="006D5E0F"/>
    <w:rsid w:val="006E4856"/>
    <w:rsid w:val="006F4DE0"/>
    <w:rsid w:val="006F6771"/>
    <w:rsid w:val="00700B14"/>
    <w:rsid w:val="0070156C"/>
    <w:rsid w:val="00704221"/>
    <w:rsid w:val="00704294"/>
    <w:rsid w:val="00704A39"/>
    <w:rsid w:val="0070706C"/>
    <w:rsid w:val="00712195"/>
    <w:rsid w:val="00713800"/>
    <w:rsid w:val="00713D7F"/>
    <w:rsid w:val="00715CA1"/>
    <w:rsid w:val="00720FBF"/>
    <w:rsid w:val="007227EE"/>
    <w:rsid w:val="007230B0"/>
    <w:rsid w:val="007270EA"/>
    <w:rsid w:val="00727E0C"/>
    <w:rsid w:val="00727FF9"/>
    <w:rsid w:val="00731C37"/>
    <w:rsid w:val="0073301E"/>
    <w:rsid w:val="0073391F"/>
    <w:rsid w:val="0074040C"/>
    <w:rsid w:val="007431CF"/>
    <w:rsid w:val="007440F2"/>
    <w:rsid w:val="00744EF0"/>
    <w:rsid w:val="00750184"/>
    <w:rsid w:val="007510B2"/>
    <w:rsid w:val="00751E96"/>
    <w:rsid w:val="00751F94"/>
    <w:rsid w:val="00752456"/>
    <w:rsid w:val="00752D09"/>
    <w:rsid w:val="00755F45"/>
    <w:rsid w:val="00757696"/>
    <w:rsid w:val="00761CE1"/>
    <w:rsid w:val="007625D5"/>
    <w:rsid w:val="00763989"/>
    <w:rsid w:val="00765533"/>
    <w:rsid w:val="00767CAB"/>
    <w:rsid w:val="00767E45"/>
    <w:rsid w:val="00772AEB"/>
    <w:rsid w:val="00772F50"/>
    <w:rsid w:val="00773323"/>
    <w:rsid w:val="00773840"/>
    <w:rsid w:val="007769C8"/>
    <w:rsid w:val="00777AEA"/>
    <w:rsid w:val="00780299"/>
    <w:rsid w:val="00781B35"/>
    <w:rsid w:val="00781B52"/>
    <w:rsid w:val="00784A69"/>
    <w:rsid w:val="0078595E"/>
    <w:rsid w:val="00785FAD"/>
    <w:rsid w:val="00786643"/>
    <w:rsid w:val="00787291"/>
    <w:rsid w:val="00787BB0"/>
    <w:rsid w:val="00791197"/>
    <w:rsid w:val="00792746"/>
    <w:rsid w:val="007A4DB7"/>
    <w:rsid w:val="007B5343"/>
    <w:rsid w:val="007B66C4"/>
    <w:rsid w:val="007C0411"/>
    <w:rsid w:val="007C0663"/>
    <w:rsid w:val="007C53EC"/>
    <w:rsid w:val="007C67B6"/>
    <w:rsid w:val="007D06F5"/>
    <w:rsid w:val="007D40CD"/>
    <w:rsid w:val="007D5762"/>
    <w:rsid w:val="007D6831"/>
    <w:rsid w:val="007D718B"/>
    <w:rsid w:val="007E10C5"/>
    <w:rsid w:val="007E2AFB"/>
    <w:rsid w:val="007E30C4"/>
    <w:rsid w:val="007E4E8F"/>
    <w:rsid w:val="007F1C6F"/>
    <w:rsid w:val="007F2843"/>
    <w:rsid w:val="007F4833"/>
    <w:rsid w:val="0080306D"/>
    <w:rsid w:val="008042D4"/>
    <w:rsid w:val="00804B54"/>
    <w:rsid w:val="0080629D"/>
    <w:rsid w:val="008068E1"/>
    <w:rsid w:val="00806BAB"/>
    <w:rsid w:val="00812AED"/>
    <w:rsid w:val="00814954"/>
    <w:rsid w:val="00815FE7"/>
    <w:rsid w:val="00817647"/>
    <w:rsid w:val="00817853"/>
    <w:rsid w:val="00817FDE"/>
    <w:rsid w:val="00821A6D"/>
    <w:rsid w:val="00823BCF"/>
    <w:rsid w:val="0083346A"/>
    <w:rsid w:val="0083716C"/>
    <w:rsid w:val="008412A2"/>
    <w:rsid w:val="00845635"/>
    <w:rsid w:val="00850518"/>
    <w:rsid w:val="0086357F"/>
    <w:rsid w:val="00863DD9"/>
    <w:rsid w:val="00864F5E"/>
    <w:rsid w:val="00873E1E"/>
    <w:rsid w:val="0087499E"/>
    <w:rsid w:val="00874D03"/>
    <w:rsid w:val="0087575E"/>
    <w:rsid w:val="008829BC"/>
    <w:rsid w:val="008838FD"/>
    <w:rsid w:val="00885774"/>
    <w:rsid w:val="00891889"/>
    <w:rsid w:val="00891BA5"/>
    <w:rsid w:val="00896A74"/>
    <w:rsid w:val="008A016E"/>
    <w:rsid w:val="008A1751"/>
    <w:rsid w:val="008A4A4B"/>
    <w:rsid w:val="008A5021"/>
    <w:rsid w:val="008A72C7"/>
    <w:rsid w:val="008B09DC"/>
    <w:rsid w:val="008B0C96"/>
    <w:rsid w:val="008B2766"/>
    <w:rsid w:val="008B2B15"/>
    <w:rsid w:val="008C7038"/>
    <w:rsid w:val="008C718A"/>
    <w:rsid w:val="008D25A6"/>
    <w:rsid w:val="008D4752"/>
    <w:rsid w:val="008D6098"/>
    <w:rsid w:val="008F1FC2"/>
    <w:rsid w:val="00905696"/>
    <w:rsid w:val="00906791"/>
    <w:rsid w:val="009078CB"/>
    <w:rsid w:val="009130B3"/>
    <w:rsid w:val="00915EE5"/>
    <w:rsid w:val="00922EFA"/>
    <w:rsid w:val="009237AF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B1B"/>
    <w:rsid w:val="00962D6E"/>
    <w:rsid w:val="00964F48"/>
    <w:rsid w:val="00966ADF"/>
    <w:rsid w:val="0097152E"/>
    <w:rsid w:val="009800CF"/>
    <w:rsid w:val="00981669"/>
    <w:rsid w:val="00982463"/>
    <w:rsid w:val="00985043"/>
    <w:rsid w:val="00986A6A"/>
    <w:rsid w:val="0099249E"/>
    <w:rsid w:val="009A533B"/>
    <w:rsid w:val="009A54FA"/>
    <w:rsid w:val="009B1AF1"/>
    <w:rsid w:val="009B53C0"/>
    <w:rsid w:val="009B5533"/>
    <w:rsid w:val="009B62D3"/>
    <w:rsid w:val="009C309F"/>
    <w:rsid w:val="009D1999"/>
    <w:rsid w:val="009D380C"/>
    <w:rsid w:val="009D3ED8"/>
    <w:rsid w:val="009D4DBA"/>
    <w:rsid w:val="009D63B6"/>
    <w:rsid w:val="009E0076"/>
    <w:rsid w:val="009E14B0"/>
    <w:rsid w:val="009E7C5D"/>
    <w:rsid w:val="009F11DA"/>
    <w:rsid w:val="009F3115"/>
    <w:rsid w:val="00A01A84"/>
    <w:rsid w:val="00A044F3"/>
    <w:rsid w:val="00A05313"/>
    <w:rsid w:val="00A13CFB"/>
    <w:rsid w:val="00A15C5F"/>
    <w:rsid w:val="00A169F6"/>
    <w:rsid w:val="00A1798D"/>
    <w:rsid w:val="00A24FD4"/>
    <w:rsid w:val="00A26F6D"/>
    <w:rsid w:val="00A3402D"/>
    <w:rsid w:val="00A4085C"/>
    <w:rsid w:val="00A55A7F"/>
    <w:rsid w:val="00A55C62"/>
    <w:rsid w:val="00A565EA"/>
    <w:rsid w:val="00A567B1"/>
    <w:rsid w:val="00A5790A"/>
    <w:rsid w:val="00A57D77"/>
    <w:rsid w:val="00A61BDC"/>
    <w:rsid w:val="00A63D5E"/>
    <w:rsid w:val="00A64276"/>
    <w:rsid w:val="00A66C44"/>
    <w:rsid w:val="00A67283"/>
    <w:rsid w:val="00A716A7"/>
    <w:rsid w:val="00A72583"/>
    <w:rsid w:val="00A746D8"/>
    <w:rsid w:val="00A74F8A"/>
    <w:rsid w:val="00A83062"/>
    <w:rsid w:val="00A86E71"/>
    <w:rsid w:val="00AA3714"/>
    <w:rsid w:val="00AA3C65"/>
    <w:rsid w:val="00AA451F"/>
    <w:rsid w:val="00AB1A9B"/>
    <w:rsid w:val="00AB5AF2"/>
    <w:rsid w:val="00AB7A86"/>
    <w:rsid w:val="00AC2A94"/>
    <w:rsid w:val="00AC3AD8"/>
    <w:rsid w:val="00AC678B"/>
    <w:rsid w:val="00AC6CF2"/>
    <w:rsid w:val="00AC7F84"/>
    <w:rsid w:val="00AD3C31"/>
    <w:rsid w:val="00AE355F"/>
    <w:rsid w:val="00AE544D"/>
    <w:rsid w:val="00AF1FF4"/>
    <w:rsid w:val="00AF3DF2"/>
    <w:rsid w:val="00AF49FB"/>
    <w:rsid w:val="00B04DA2"/>
    <w:rsid w:val="00B126A6"/>
    <w:rsid w:val="00B23F3C"/>
    <w:rsid w:val="00B25C61"/>
    <w:rsid w:val="00B2622E"/>
    <w:rsid w:val="00B26E25"/>
    <w:rsid w:val="00B3585B"/>
    <w:rsid w:val="00B40DBF"/>
    <w:rsid w:val="00B41808"/>
    <w:rsid w:val="00B41EB5"/>
    <w:rsid w:val="00B422D7"/>
    <w:rsid w:val="00B423D3"/>
    <w:rsid w:val="00B42939"/>
    <w:rsid w:val="00B5005E"/>
    <w:rsid w:val="00B512E6"/>
    <w:rsid w:val="00B522BA"/>
    <w:rsid w:val="00B56DBC"/>
    <w:rsid w:val="00B638EC"/>
    <w:rsid w:val="00B63A80"/>
    <w:rsid w:val="00B63D6C"/>
    <w:rsid w:val="00B6420A"/>
    <w:rsid w:val="00B70364"/>
    <w:rsid w:val="00B711CC"/>
    <w:rsid w:val="00B74658"/>
    <w:rsid w:val="00B75620"/>
    <w:rsid w:val="00B7686C"/>
    <w:rsid w:val="00B77B19"/>
    <w:rsid w:val="00B77DD6"/>
    <w:rsid w:val="00B806EC"/>
    <w:rsid w:val="00B8293D"/>
    <w:rsid w:val="00B86F59"/>
    <w:rsid w:val="00B9260B"/>
    <w:rsid w:val="00B9277C"/>
    <w:rsid w:val="00B93061"/>
    <w:rsid w:val="00B93618"/>
    <w:rsid w:val="00B960D0"/>
    <w:rsid w:val="00BA139A"/>
    <w:rsid w:val="00BA6531"/>
    <w:rsid w:val="00BB1D3F"/>
    <w:rsid w:val="00BB406D"/>
    <w:rsid w:val="00BB508A"/>
    <w:rsid w:val="00BB6CA2"/>
    <w:rsid w:val="00BC1EEC"/>
    <w:rsid w:val="00BC2E61"/>
    <w:rsid w:val="00BC334A"/>
    <w:rsid w:val="00BC56E3"/>
    <w:rsid w:val="00BD329A"/>
    <w:rsid w:val="00BD582A"/>
    <w:rsid w:val="00BE32F2"/>
    <w:rsid w:val="00BE6778"/>
    <w:rsid w:val="00BE7161"/>
    <w:rsid w:val="00BE74DA"/>
    <w:rsid w:val="00BE7845"/>
    <w:rsid w:val="00BF0B64"/>
    <w:rsid w:val="00BF0C8D"/>
    <w:rsid w:val="00BF45A8"/>
    <w:rsid w:val="00BF676B"/>
    <w:rsid w:val="00C007DC"/>
    <w:rsid w:val="00C0108F"/>
    <w:rsid w:val="00C018EB"/>
    <w:rsid w:val="00C033CA"/>
    <w:rsid w:val="00C0341E"/>
    <w:rsid w:val="00C054DC"/>
    <w:rsid w:val="00C120A6"/>
    <w:rsid w:val="00C171E7"/>
    <w:rsid w:val="00C21DFE"/>
    <w:rsid w:val="00C2272B"/>
    <w:rsid w:val="00C24B5B"/>
    <w:rsid w:val="00C263C5"/>
    <w:rsid w:val="00C30B57"/>
    <w:rsid w:val="00C314EB"/>
    <w:rsid w:val="00C326B7"/>
    <w:rsid w:val="00C327CF"/>
    <w:rsid w:val="00C32E05"/>
    <w:rsid w:val="00C33461"/>
    <w:rsid w:val="00C34675"/>
    <w:rsid w:val="00C34CD5"/>
    <w:rsid w:val="00C42F5B"/>
    <w:rsid w:val="00C54CA3"/>
    <w:rsid w:val="00C5530A"/>
    <w:rsid w:val="00C56D94"/>
    <w:rsid w:val="00C601A9"/>
    <w:rsid w:val="00C65832"/>
    <w:rsid w:val="00C664C5"/>
    <w:rsid w:val="00C67E45"/>
    <w:rsid w:val="00C70335"/>
    <w:rsid w:val="00C756C5"/>
    <w:rsid w:val="00C77328"/>
    <w:rsid w:val="00C8056F"/>
    <w:rsid w:val="00C81BA1"/>
    <w:rsid w:val="00C85E4B"/>
    <w:rsid w:val="00C9117A"/>
    <w:rsid w:val="00C93679"/>
    <w:rsid w:val="00C97D1B"/>
    <w:rsid w:val="00CA13E0"/>
    <w:rsid w:val="00CA4B9D"/>
    <w:rsid w:val="00CA6E49"/>
    <w:rsid w:val="00CA75D6"/>
    <w:rsid w:val="00CB2410"/>
    <w:rsid w:val="00CB2F1B"/>
    <w:rsid w:val="00CC0B2E"/>
    <w:rsid w:val="00CC359B"/>
    <w:rsid w:val="00CC3F7C"/>
    <w:rsid w:val="00CC5941"/>
    <w:rsid w:val="00CC6575"/>
    <w:rsid w:val="00CC7334"/>
    <w:rsid w:val="00CD2950"/>
    <w:rsid w:val="00CD46C9"/>
    <w:rsid w:val="00CD4905"/>
    <w:rsid w:val="00CD4E25"/>
    <w:rsid w:val="00CD77C7"/>
    <w:rsid w:val="00CE07C0"/>
    <w:rsid w:val="00CE5350"/>
    <w:rsid w:val="00CE5CB2"/>
    <w:rsid w:val="00CE6A51"/>
    <w:rsid w:val="00CF2672"/>
    <w:rsid w:val="00CF5A1A"/>
    <w:rsid w:val="00D02B09"/>
    <w:rsid w:val="00D044B0"/>
    <w:rsid w:val="00D0593D"/>
    <w:rsid w:val="00D06CDD"/>
    <w:rsid w:val="00D161AA"/>
    <w:rsid w:val="00D175EC"/>
    <w:rsid w:val="00D20898"/>
    <w:rsid w:val="00D223E7"/>
    <w:rsid w:val="00D237C8"/>
    <w:rsid w:val="00D27903"/>
    <w:rsid w:val="00D30746"/>
    <w:rsid w:val="00D32EA3"/>
    <w:rsid w:val="00D34C28"/>
    <w:rsid w:val="00D360D2"/>
    <w:rsid w:val="00D36527"/>
    <w:rsid w:val="00D37FFD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24A"/>
    <w:rsid w:val="00D65374"/>
    <w:rsid w:val="00D67413"/>
    <w:rsid w:val="00D7341B"/>
    <w:rsid w:val="00D75400"/>
    <w:rsid w:val="00D80DCF"/>
    <w:rsid w:val="00D815DD"/>
    <w:rsid w:val="00D83A7E"/>
    <w:rsid w:val="00D843FC"/>
    <w:rsid w:val="00D8449E"/>
    <w:rsid w:val="00D86AE4"/>
    <w:rsid w:val="00D86B29"/>
    <w:rsid w:val="00D8729C"/>
    <w:rsid w:val="00D96814"/>
    <w:rsid w:val="00DA4CA4"/>
    <w:rsid w:val="00DA620F"/>
    <w:rsid w:val="00DA642E"/>
    <w:rsid w:val="00DA6453"/>
    <w:rsid w:val="00DB4153"/>
    <w:rsid w:val="00DB5CA9"/>
    <w:rsid w:val="00DB6B81"/>
    <w:rsid w:val="00DC11DB"/>
    <w:rsid w:val="00DC259B"/>
    <w:rsid w:val="00DC499C"/>
    <w:rsid w:val="00DC6F20"/>
    <w:rsid w:val="00DC70A2"/>
    <w:rsid w:val="00DD7350"/>
    <w:rsid w:val="00DE0232"/>
    <w:rsid w:val="00DE56A8"/>
    <w:rsid w:val="00DE5D9C"/>
    <w:rsid w:val="00DF0978"/>
    <w:rsid w:val="00DF0B72"/>
    <w:rsid w:val="00DF1227"/>
    <w:rsid w:val="00DF1E54"/>
    <w:rsid w:val="00DF29FC"/>
    <w:rsid w:val="00DF39E9"/>
    <w:rsid w:val="00E02FB7"/>
    <w:rsid w:val="00E04A9B"/>
    <w:rsid w:val="00E05A97"/>
    <w:rsid w:val="00E06BC8"/>
    <w:rsid w:val="00E26660"/>
    <w:rsid w:val="00E45540"/>
    <w:rsid w:val="00E50E1A"/>
    <w:rsid w:val="00E56CCA"/>
    <w:rsid w:val="00E57ACF"/>
    <w:rsid w:val="00E66D21"/>
    <w:rsid w:val="00E747B2"/>
    <w:rsid w:val="00E75AA6"/>
    <w:rsid w:val="00E77E26"/>
    <w:rsid w:val="00E81A72"/>
    <w:rsid w:val="00E84A83"/>
    <w:rsid w:val="00E90D48"/>
    <w:rsid w:val="00E96258"/>
    <w:rsid w:val="00E972A0"/>
    <w:rsid w:val="00E97B86"/>
    <w:rsid w:val="00EA2C4D"/>
    <w:rsid w:val="00EA34B5"/>
    <w:rsid w:val="00EA5322"/>
    <w:rsid w:val="00EB0A59"/>
    <w:rsid w:val="00EB24C8"/>
    <w:rsid w:val="00EB5B49"/>
    <w:rsid w:val="00EC06BF"/>
    <w:rsid w:val="00EC217E"/>
    <w:rsid w:val="00EC58EC"/>
    <w:rsid w:val="00EC725C"/>
    <w:rsid w:val="00ED1716"/>
    <w:rsid w:val="00ED5DC1"/>
    <w:rsid w:val="00EE0124"/>
    <w:rsid w:val="00EE231F"/>
    <w:rsid w:val="00EE26A9"/>
    <w:rsid w:val="00EE52FC"/>
    <w:rsid w:val="00EE626B"/>
    <w:rsid w:val="00EE6C6E"/>
    <w:rsid w:val="00F024F0"/>
    <w:rsid w:val="00F03E58"/>
    <w:rsid w:val="00F1197F"/>
    <w:rsid w:val="00F14479"/>
    <w:rsid w:val="00F1581D"/>
    <w:rsid w:val="00F22341"/>
    <w:rsid w:val="00F239AB"/>
    <w:rsid w:val="00F26476"/>
    <w:rsid w:val="00F264FC"/>
    <w:rsid w:val="00F26BD8"/>
    <w:rsid w:val="00F26DAE"/>
    <w:rsid w:val="00F30E60"/>
    <w:rsid w:val="00F32775"/>
    <w:rsid w:val="00F32F85"/>
    <w:rsid w:val="00F37329"/>
    <w:rsid w:val="00F37555"/>
    <w:rsid w:val="00F446BF"/>
    <w:rsid w:val="00F52DDA"/>
    <w:rsid w:val="00F52E79"/>
    <w:rsid w:val="00F54464"/>
    <w:rsid w:val="00F5614E"/>
    <w:rsid w:val="00F57DA9"/>
    <w:rsid w:val="00F6132C"/>
    <w:rsid w:val="00F6196A"/>
    <w:rsid w:val="00F61CA3"/>
    <w:rsid w:val="00F652B6"/>
    <w:rsid w:val="00F730CA"/>
    <w:rsid w:val="00F7371A"/>
    <w:rsid w:val="00F74528"/>
    <w:rsid w:val="00F74D95"/>
    <w:rsid w:val="00F75231"/>
    <w:rsid w:val="00F770C2"/>
    <w:rsid w:val="00F7711F"/>
    <w:rsid w:val="00F77280"/>
    <w:rsid w:val="00F80CE5"/>
    <w:rsid w:val="00F815A5"/>
    <w:rsid w:val="00F8197F"/>
    <w:rsid w:val="00F84CB8"/>
    <w:rsid w:val="00F85827"/>
    <w:rsid w:val="00F871A5"/>
    <w:rsid w:val="00F8747E"/>
    <w:rsid w:val="00F900E6"/>
    <w:rsid w:val="00F90ECD"/>
    <w:rsid w:val="00F92487"/>
    <w:rsid w:val="00F941BC"/>
    <w:rsid w:val="00F94954"/>
    <w:rsid w:val="00F95FD0"/>
    <w:rsid w:val="00FA0401"/>
    <w:rsid w:val="00FA1993"/>
    <w:rsid w:val="00FA21D9"/>
    <w:rsid w:val="00FA3B5B"/>
    <w:rsid w:val="00FA3B69"/>
    <w:rsid w:val="00FA60E1"/>
    <w:rsid w:val="00FA74D9"/>
    <w:rsid w:val="00FB02F9"/>
    <w:rsid w:val="00FB290F"/>
    <w:rsid w:val="00FB5A4D"/>
    <w:rsid w:val="00FB65B5"/>
    <w:rsid w:val="00FB6AAB"/>
    <w:rsid w:val="00FC3929"/>
    <w:rsid w:val="00FD2B1C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  <w:style w:type="paragraph" w:customStyle="1" w:styleId="21">
    <w:name w:val="Абзац списка2"/>
    <w:basedOn w:val="a"/>
    <w:rsid w:val="00981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FF830C39CBFA224EE7EFA631435F69E7486F7C652E559EF030CB13DB324AA4035508FD9C4E8B33A81EF0yDr0K" TargetMode="External"/><Relationship Id="rId18" Type="http://schemas.openxmlformats.org/officeDocument/2006/relationships/hyperlink" Target="http://www.bus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F830C39CBFA224EE7EFA631435F69E749697B6971029CA165C516D36210B4071C5CF98346952CAA00F3D8E1y9r5K" TargetMode="External"/><Relationship Id="rId17" Type="http://schemas.openxmlformats.org/officeDocument/2006/relationships/hyperlink" Target="consultantplus://offline/ref=F76009F7F1F0F51CD7FDDA8F08DD0098CD5662CDB98280CE0BABF465FCCA0B08E444C315F615EFB5qFEC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5F4FC2F8FC11AD29283CC52ACCEB8C0C4A3D7466B34D00CB26F1EACADD8E10EAD69CC72D86F210CA8A4B69n8MDK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24" Type="http://schemas.openxmlformats.org/officeDocument/2006/relationships/hyperlink" Target="consultantplus://offline/ref=E4A427603686A645BDD0EB77ACD125E2FAD9B5938A12D22733AF7D4FCDfBE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6009F7F1F0F51CD7FDDA8F08DD0098CD5662CDB98280CE0BABF465FCCA0B08E444C315F615EFB5qFECE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0FF830C39CBFA224EE7EFA631435F69E6406C78677B029CA165C516D36210B4071C5CF98346952CAA00F3D8E1y9r5K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61DA-1EEC-4B2C-9BF5-85607DE1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9674</Words>
  <Characters>72336</Characters>
  <Application>Microsoft Office Word</Application>
  <DocSecurity>0</DocSecurity>
  <Lines>602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81847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Admin</cp:lastModifiedBy>
  <cp:revision>3</cp:revision>
  <cp:lastPrinted>2021-01-12T06:59:00Z</cp:lastPrinted>
  <dcterms:created xsi:type="dcterms:W3CDTF">2021-01-12T06:59:00Z</dcterms:created>
  <dcterms:modified xsi:type="dcterms:W3CDTF">2021-01-12T07:34:00Z</dcterms:modified>
</cp:coreProperties>
</file>