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Default="006656E7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10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FE215A">
        <w:rPr>
          <w:color w:val="000000"/>
          <w:spacing w:val="-15"/>
          <w:sz w:val="28"/>
          <w:szCs w:val="28"/>
        </w:rPr>
        <w:t>1</w:t>
      </w:r>
      <w:r w:rsidR="001E0423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5905D7">
        <w:rPr>
          <w:color w:val="000000"/>
          <w:spacing w:val="-15"/>
          <w:sz w:val="28"/>
          <w:szCs w:val="28"/>
        </w:rPr>
        <w:t>3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</w:t>
      </w:r>
      <w:proofErr w:type="spellStart"/>
      <w:r w:rsidR="00B5005E" w:rsidRPr="00A66C44">
        <w:rPr>
          <w:color w:val="000000"/>
          <w:spacing w:val="-15"/>
          <w:sz w:val="28"/>
          <w:szCs w:val="28"/>
        </w:rPr>
        <w:t>Идринское</w:t>
      </w:r>
      <w:proofErr w:type="spellEnd"/>
      <w:r w:rsidR="00B5005E" w:rsidRPr="00A66C44">
        <w:rPr>
          <w:color w:val="000000"/>
          <w:spacing w:val="-15"/>
          <w:sz w:val="28"/>
          <w:szCs w:val="28"/>
        </w:rPr>
        <w:t xml:space="preserve">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 xml:space="preserve">682 - </w:t>
      </w:r>
      <w:proofErr w:type="gramStart"/>
      <w:r>
        <w:rPr>
          <w:color w:val="000000"/>
          <w:spacing w:val="-15"/>
          <w:sz w:val="28"/>
          <w:szCs w:val="28"/>
        </w:rPr>
        <w:t>п</w:t>
      </w:r>
      <w:proofErr w:type="gramEnd"/>
    </w:p>
    <w:p w:rsidR="005905D7" w:rsidRPr="0099249E" w:rsidRDefault="005905D7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 xml:space="preserve">Бюджетного кодекса Российской Федерации, руководствуясь статьями 19, 33 Устава района,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09.08.2013 № 303–п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r w:rsidR="00B5005E">
        <w:rPr>
          <w:sz w:val="28"/>
          <w:szCs w:val="28"/>
        </w:rPr>
        <w:t xml:space="preserve">Внести в постановление администрации района от 10.11.2015 № 465-п «Об утверждении муниципальной программы </w:t>
      </w:r>
      <w:proofErr w:type="spellStart"/>
      <w:r w:rsidR="00B5005E">
        <w:rPr>
          <w:sz w:val="28"/>
          <w:szCs w:val="28"/>
        </w:rPr>
        <w:t>Идринского</w:t>
      </w:r>
      <w:proofErr w:type="spellEnd"/>
      <w:r w:rsidR="00B5005E">
        <w:rPr>
          <w:sz w:val="28"/>
          <w:szCs w:val="28"/>
        </w:rPr>
        <w:t xml:space="preserve"> района «Управление муниципальными финансами </w:t>
      </w:r>
      <w:proofErr w:type="spellStart"/>
      <w:r w:rsidR="00B5005E">
        <w:rPr>
          <w:sz w:val="28"/>
          <w:szCs w:val="28"/>
        </w:rPr>
        <w:t>Идринского</w:t>
      </w:r>
      <w:proofErr w:type="spellEnd"/>
      <w:r w:rsidR="00B5005E">
        <w:rPr>
          <w:sz w:val="28"/>
          <w:szCs w:val="28"/>
        </w:rPr>
        <w:t xml:space="preserve">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</w:t>
      </w:r>
      <w:proofErr w:type="spellStart"/>
      <w:r w:rsidRPr="00812AED">
        <w:rPr>
          <w:sz w:val="28"/>
          <w:szCs w:val="28"/>
        </w:rPr>
        <w:t>Идринского</w:t>
      </w:r>
      <w:proofErr w:type="spellEnd"/>
      <w:r w:rsidRPr="00812A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="00BD58E8"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 (</w:t>
      </w:r>
      <w:hyperlink r:id="rId10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153066">
        <w:rPr>
          <w:color w:val="000000" w:themeColor="text1"/>
          <w:spacing w:val="-2"/>
          <w:sz w:val="28"/>
          <w:szCs w:val="28"/>
        </w:rPr>
        <w:t>.</w:t>
      </w:r>
    </w:p>
    <w:p w:rsidR="001E0423" w:rsidRPr="00BB508A" w:rsidRDefault="00B5005E" w:rsidP="001E0423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BD58E8" w:rsidRPr="00BD58E8">
        <w:rPr>
          <w:bCs/>
          <w:color w:val="000000"/>
          <w:spacing w:val="-2"/>
          <w:sz w:val="28"/>
          <w:szCs w:val="28"/>
        </w:rPr>
        <w:t xml:space="preserve"> </w:t>
      </w:r>
      <w:r w:rsidR="001E0423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1E0423"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="001E0423" w:rsidRPr="00495E20">
        <w:rPr>
          <w:sz w:val="28"/>
          <w:szCs w:val="28"/>
        </w:rPr>
        <w:t xml:space="preserve"> и применяется к правоотношениям</w:t>
      </w:r>
      <w:r w:rsidR="001E0423">
        <w:rPr>
          <w:sz w:val="28"/>
          <w:szCs w:val="28"/>
        </w:rPr>
        <w:t>,</w:t>
      </w:r>
      <w:r w:rsidR="001E0423" w:rsidRPr="00495E20">
        <w:rPr>
          <w:sz w:val="28"/>
          <w:szCs w:val="28"/>
        </w:rPr>
        <w:t xml:space="preserve"> возникшим </w:t>
      </w:r>
      <w:r w:rsidR="001E0423" w:rsidRPr="00633565">
        <w:rPr>
          <w:color w:val="000000" w:themeColor="text1"/>
          <w:sz w:val="28"/>
          <w:szCs w:val="28"/>
        </w:rPr>
        <w:t>с 01.01.202</w:t>
      </w:r>
      <w:r w:rsidR="00533314">
        <w:rPr>
          <w:color w:val="000000" w:themeColor="text1"/>
          <w:sz w:val="28"/>
          <w:szCs w:val="28"/>
        </w:rPr>
        <w:t>4</w:t>
      </w:r>
      <w:r w:rsidR="001E0423" w:rsidRPr="00633565">
        <w:rPr>
          <w:color w:val="000000" w:themeColor="text1"/>
          <w:sz w:val="28"/>
          <w:szCs w:val="28"/>
        </w:rPr>
        <w:t xml:space="preserve"> год</w:t>
      </w:r>
      <w:r w:rsidR="001E0423">
        <w:rPr>
          <w:color w:val="000000" w:themeColor="text1"/>
          <w:sz w:val="28"/>
          <w:szCs w:val="28"/>
        </w:rPr>
        <w:t>а</w:t>
      </w:r>
      <w:r w:rsidR="001E0423" w:rsidRPr="00633565">
        <w:rPr>
          <w:color w:val="000000" w:themeColor="text1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6656E7" w:rsidRDefault="006656E7" w:rsidP="00F27378">
      <w:pPr>
        <w:pStyle w:val="11"/>
        <w:ind w:left="928" w:hanging="9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27378" w:rsidRDefault="006656E7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гл</w:t>
      </w:r>
      <w:r w:rsidR="00F27378" w:rsidRPr="00BB508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Н.П. Антипова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56E7" w:rsidRDefault="006656E7" w:rsidP="00D459E9">
      <w:pPr>
        <w:jc w:val="right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6656E7">
              <w:rPr>
                <w:sz w:val="28"/>
                <w:szCs w:val="28"/>
              </w:rPr>
              <w:t>10</w:t>
            </w:r>
            <w:r w:rsidRPr="007A4DB7">
              <w:rPr>
                <w:sz w:val="28"/>
                <w:szCs w:val="28"/>
              </w:rPr>
              <w:t>.</w:t>
            </w:r>
            <w:r w:rsidR="00FE215A">
              <w:rPr>
                <w:sz w:val="28"/>
                <w:szCs w:val="28"/>
              </w:rPr>
              <w:t>1</w:t>
            </w:r>
            <w:r w:rsidR="00502FC6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AE0DD2">
              <w:rPr>
                <w:sz w:val="28"/>
                <w:szCs w:val="28"/>
              </w:rPr>
              <w:t>3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6656E7">
              <w:rPr>
                <w:sz w:val="28"/>
                <w:szCs w:val="28"/>
              </w:rPr>
              <w:t xml:space="preserve">682 - </w:t>
            </w:r>
            <w:proofErr w:type="gramStart"/>
            <w:r w:rsidR="006656E7">
              <w:rPr>
                <w:sz w:val="28"/>
                <w:szCs w:val="28"/>
              </w:rPr>
              <w:t>п</w:t>
            </w:r>
            <w:proofErr w:type="gramEnd"/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>-</w:t>
            </w:r>
            <w:r w:rsidR="006656E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7739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77394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 xml:space="preserve">«Управление муниципальными финансами </w:t>
      </w:r>
      <w:proofErr w:type="spellStart"/>
      <w:r w:rsidRPr="000E0BB0">
        <w:rPr>
          <w:b w:val="0"/>
          <w:bCs/>
          <w:spacing w:val="0"/>
          <w:u w:val="none"/>
        </w:rPr>
        <w:t>Идринского</w:t>
      </w:r>
      <w:proofErr w:type="spellEnd"/>
      <w:r w:rsidRPr="000E0BB0">
        <w:rPr>
          <w:b w:val="0"/>
          <w:bCs/>
          <w:spacing w:val="0"/>
          <w:u w:val="none"/>
        </w:rPr>
        <w:t xml:space="preserve">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муниципальными финансами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gramEnd"/>
            <w:r w:rsidRPr="003911DB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Финансовое  управление администрации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2. Обеспечение реализации муниципальной </w:t>
            </w:r>
            <w:r w:rsidRPr="00AF3DF2">
              <w:rPr>
                <w:sz w:val="28"/>
                <w:szCs w:val="28"/>
              </w:rPr>
              <w:lastRenderedPageBreak/>
              <w:t>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 xml:space="preserve">Эффективное управление муниципальным долгом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</w:t>
            </w:r>
            <w:r w:rsidRPr="003911DB">
              <w:rPr>
                <w:sz w:val="28"/>
                <w:szCs w:val="28"/>
              </w:rPr>
              <w:lastRenderedPageBreak/>
              <w:t>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3862A1">
              <w:rPr>
                <w:sz w:val="28"/>
                <w:szCs w:val="28"/>
              </w:rPr>
              <w:t>1 032 049 953,77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862A1">
              <w:rPr>
                <w:sz w:val="28"/>
                <w:szCs w:val="28"/>
              </w:rPr>
              <w:t>190 337 126,00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862A1">
              <w:rPr>
                <w:sz w:val="28"/>
                <w:szCs w:val="28"/>
              </w:rPr>
              <w:t>841 712 827,77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</w:t>
            </w:r>
            <w:r w:rsidRPr="00EB0A59">
              <w:rPr>
                <w:sz w:val="28"/>
                <w:szCs w:val="28"/>
              </w:rPr>
              <w:lastRenderedPageBreak/>
              <w:t>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> 890,0</w:t>
            </w:r>
            <w:r w:rsidR="00940537">
              <w:rPr>
                <w:sz w:val="28"/>
                <w:szCs w:val="28"/>
              </w:rPr>
              <w:t>0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="00FF2030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940537">
              <w:rPr>
                <w:sz w:val="28"/>
                <w:szCs w:val="28"/>
              </w:rPr>
              <w:t>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="00070CBE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3C1A80">
              <w:rPr>
                <w:sz w:val="28"/>
                <w:szCs w:val="28"/>
              </w:rPr>
              <w:t> 496 146</w:t>
            </w:r>
            <w:r w:rsidR="00070CBE"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>,0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2 286 546</w:t>
            </w:r>
            <w:r w:rsidR="00070CBE" w:rsidRPr="00F65937">
              <w:rPr>
                <w:sz w:val="28"/>
                <w:szCs w:val="28"/>
              </w:rPr>
              <w:t>,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>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0C4BA9">
              <w:rPr>
                <w:sz w:val="28"/>
                <w:szCs w:val="28"/>
              </w:rPr>
              <w:t>10</w:t>
            </w:r>
            <w:r w:rsidR="00821C5A">
              <w:rPr>
                <w:sz w:val="28"/>
                <w:szCs w:val="28"/>
              </w:rPr>
              <w:t>8</w:t>
            </w:r>
            <w:r w:rsidR="00940537">
              <w:rPr>
                <w:sz w:val="28"/>
                <w:szCs w:val="28"/>
              </w:rPr>
              <w:t> 926 709,80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F65937" w:rsidRDefault="009405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89 163 609,80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940537">
              <w:rPr>
                <w:sz w:val="28"/>
                <w:szCs w:val="28"/>
              </w:rPr>
              <w:t xml:space="preserve">112 720 544,00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3273D" w:rsidRPr="00F65937" w:rsidRDefault="009405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22 655 800,0</w:t>
            </w:r>
            <w:r w:rsidR="00D3273D" w:rsidRPr="00F65937">
              <w:rPr>
                <w:sz w:val="28"/>
                <w:szCs w:val="28"/>
              </w:rPr>
              <w:t xml:space="preserve">0 рублей - средства краевого </w:t>
            </w:r>
            <w:r w:rsidR="00D3273D" w:rsidRPr="00F65937">
              <w:rPr>
                <w:sz w:val="28"/>
                <w:szCs w:val="28"/>
              </w:rPr>
              <w:lastRenderedPageBreak/>
              <w:t>бюджета;</w:t>
            </w:r>
          </w:p>
          <w:p w:rsidR="00591714" w:rsidRDefault="009405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90 064 744,00</w:t>
            </w:r>
            <w:r w:rsidR="00D3273D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D3273D" w:rsidRPr="00F65937">
              <w:rPr>
                <w:sz w:val="28"/>
                <w:szCs w:val="28"/>
              </w:rPr>
              <w:t xml:space="preserve">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940537">
              <w:rPr>
                <w:sz w:val="28"/>
                <w:szCs w:val="28"/>
              </w:rPr>
              <w:t>11</w:t>
            </w:r>
            <w:r w:rsidR="003862A1">
              <w:rPr>
                <w:sz w:val="28"/>
                <w:szCs w:val="28"/>
              </w:rPr>
              <w:t>9 921 985,00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3862A1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23 149 500,00</w:t>
            </w:r>
            <w:r w:rsidR="00591714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763989" w:rsidRDefault="003862A1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96 772 485,00</w:t>
            </w:r>
            <w:r w:rsidR="00591714" w:rsidRPr="00F65937">
              <w:rPr>
                <w:sz w:val="28"/>
                <w:szCs w:val="28"/>
              </w:rPr>
              <w:t xml:space="preserve"> рубл</w:t>
            </w:r>
            <w:r w:rsidR="00940537">
              <w:rPr>
                <w:sz w:val="28"/>
                <w:szCs w:val="28"/>
              </w:rPr>
              <w:t>ей</w:t>
            </w:r>
            <w:r w:rsidR="00591714" w:rsidRPr="00F65937">
              <w:rPr>
                <w:sz w:val="28"/>
                <w:szCs w:val="28"/>
              </w:rPr>
              <w:t xml:space="preserve"> – средства</w:t>
            </w:r>
            <w:r w:rsidR="00591714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;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65937">
              <w:rPr>
                <w:sz w:val="28"/>
                <w:szCs w:val="28"/>
              </w:rPr>
              <w:t>год –</w:t>
            </w:r>
            <w:r w:rsidR="00940537">
              <w:rPr>
                <w:sz w:val="28"/>
                <w:szCs w:val="28"/>
              </w:rPr>
              <w:t>11</w:t>
            </w:r>
            <w:r w:rsidR="003862A1">
              <w:rPr>
                <w:sz w:val="28"/>
                <w:szCs w:val="28"/>
              </w:rPr>
              <w:t xml:space="preserve">9 559 424,00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2A1">
              <w:rPr>
                <w:sz w:val="28"/>
                <w:szCs w:val="28"/>
              </w:rPr>
              <w:t>8 519 600,00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Default="003862A1" w:rsidP="00940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101 039 824,00</w:t>
            </w:r>
            <w:r w:rsidR="00502FC6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502FC6" w:rsidRPr="00F65937">
              <w:rPr>
                <w:sz w:val="28"/>
                <w:szCs w:val="28"/>
              </w:rPr>
              <w:t xml:space="preserve"> – средства</w:t>
            </w:r>
            <w:r w:rsidR="00502FC6" w:rsidRPr="00EB0A59">
              <w:rPr>
                <w:sz w:val="28"/>
                <w:szCs w:val="28"/>
              </w:rPr>
              <w:t xml:space="preserve"> районного бюджета</w:t>
            </w:r>
            <w:r w:rsidR="006F5C74">
              <w:rPr>
                <w:sz w:val="28"/>
                <w:szCs w:val="28"/>
              </w:rPr>
              <w:t>;</w:t>
            </w:r>
          </w:p>
          <w:p w:rsidR="006F5C74" w:rsidRPr="00F65937" w:rsidRDefault="006F5C74" w:rsidP="006F5C7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65937">
              <w:rPr>
                <w:sz w:val="28"/>
                <w:szCs w:val="28"/>
              </w:rPr>
              <w:t>год –</w:t>
            </w:r>
            <w:r w:rsidR="003862A1">
              <w:rPr>
                <w:sz w:val="28"/>
                <w:szCs w:val="28"/>
              </w:rPr>
              <w:t>119 204 109,00</w:t>
            </w:r>
            <w:r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6F5C74" w:rsidRPr="00F65937" w:rsidRDefault="003862A1" w:rsidP="006F5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18 519 600,00</w:t>
            </w:r>
            <w:r w:rsidR="006F5C74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6F5C74" w:rsidRPr="003911DB" w:rsidRDefault="003862A1" w:rsidP="003862A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100 684 509,00</w:t>
            </w:r>
            <w:r w:rsidR="006F5C74" w:rsidRPr="00F65937">
              <w:rPr>
                <w:sz w:val="28"/>
                <w:szCs w:val="28"/>
              </w:rPr>
              <w:t xml:space="preserve"> рубл</w:t>
            </w:r>
            <w:r w:rsidR="006F5C74">
              <w:rPr>
                <w:sz w:val="28"/>
                <w:szCs w:val="28"/>
              </w:rPr>
              <w:t>ей</w:t>
            </w:r>
            <w:r w:rsidR="006F5C74" w:rsidRPr="00F65937">
              <w:rPr>
                <w:sz w:val="28"/>
                <w:szCs w:val="28"/>
              </w:rPr>
              <w:t xml:space="preserve"> – средства</w:t>
            </w:r>
            <w:r w:rsidR="006F5C74" w:rsidRPr="00EB0A59">
              <w:rPr>
                <w:sz w:val="28"/>
                <w:szCs w:val="28"/>
              </w:rPr>
              <w:t xml:space="preserve"> районного бюджета</w:t>
            </w:r>
            <w:r w:rsidR="006F5C74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Бюджетная система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Уполномоченным органом в сфере управления финансами районного бюджета является финансовое управление администрации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</w:t>
      </w:r>
      <w:r w:rsidRPr="00FA3B69">
        <w:rPr>
          <w:sz w:val="28"/>
          <w:szCs w:val="28"/>
        </w:rPr>
        <w:lastRenderedPageBreak/>
        <w:t xml:space="preserve">социально-экономического развития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 w:rsidRPr="00FA3B6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A3B69">
        <w:rPr>
          <w:rFonts w:ascii="Times New Roman" w:hAnsi="Times New Roman" w:cs="Times New Roman"/>
          <w:sz w:val="28"/>
          <w:szCs w:val="28"/>
        </w:rPr>
        <w:t xml:space="preserve">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3. Эффективное управление муниципальным долгом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lastRenderedPageBreak/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proofErr w:type="spellStart"/>
      <w:r w:rsidR="008B0C96">
        <w:rPr>
          <w:sz w:val="28"/>
          <w:szCs w:val="28"/>
        </w:rPr>
        <w:t>Идринского</w:t>
      </w:r>
      <w:proofErr w:type="spellEnd"/>
      <w:r w:rsidR="008B0C9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к паспорту муниципальной программы </w:t>
            </w:r>
            <w:proofErr w:type="spellStart"/>
            <w:r w:rsidRPr="00FA3B69">
              <w:rPr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</w:rPr>
              <w:t xml:space="preserve"> района «Управление муниципальными финансами </w:t>
            </w:r>
            <w:proofErr w:type="spellStart"/>
            <w:r w:rsidRPr="00FA3B69">
              <w:rPr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</w:rPr>
              <w:t xml:space="preserve">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</w:t>
      </w:r>
      <w:proofErr w:type="spellStart"/>
      <w:r w:rsidR="009237AF">
        <w:rPr>
          <w:sz w:val="28"/>
          <w:szCs w:val="28"/>
        </w:rPr>
        <w:t>Идринского</w:t>
      </w:r>
      <w:proofErr w:type="spellEnd"/>
      <w:r w:rsidR="009237AF">
        <w:rPr>
          <w:sz w:val="28"/>
          <w:szCs w:val="28"/>
        </w:rPr>
        <w:t xml:space="preserve">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6"/>
        <w:gridCol w:w="2063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850"/>
        <w:gridCol w:w="1701"/>
      </w:tblGrid>
      <w:tr w:rsidR="009B121A" w:rsidRPr="00567B96" w:rsidTr="009B121A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67B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6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9B121A" w:rsidRPr="00567B96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B121A" w:rsidRPr="00567B96" w:rsidTr="009B121A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9B121A" w:rsidRPr="00567B96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9B121A" w:rsidRPr="00567B96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9B121A" w:rsidRPr="00567B96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9B121A" w:rsidRPr="00567B96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9B121A" w:rsidRPr="00567B96" w:rsidRDefault="009B121A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9B121A" w:rsidRPr="00567B96" w:rsidRDefault="009B121A" w:rsidP="00027A2C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9B121A" w:rsidRPr="00567B96" w:rsidRDefault="009B121A" w:rsidP="009B121A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9B121A" w:rsidRPr="00567B96" w:rsidTr="009B121A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9B121A" w:rsidRPr="00567B96" w:rsidTr="009B121A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95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B121A" w:rsidRPr="00567B96" w:rsidTr="009B121A">
        <w:trPr>
          <w:trHeight w:val="591"/>
        </w:trPr>
        <w:tc>
          <w:tcPr>
            <w:tcW w:w="1532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</w:t>
            </w:r>
            <w:proofErr w:type="spellStart"/>
            <w:r w:rsidRPr="00567B96">
              <w:rPr>
                <w:color w:val="000000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color w:val="000000"/>
                <w:sz w:val="24"/>
                <w:szCs w:val="24"/>
              </w:rPr>
              <w:t xml:space="preserve"> района, повышение качества и прозрачности управления муниципальными финансами</w:t>
            </w:r>
          </w:p>
        </w:tc>
      </w:tr>
      <w:tr w:rsidR="009B121A" w:rsidRPr="00567B96" w:rsidTr="009B121A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после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D955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</w:t>
            </w:r>
            <w:r w:rsidR="00322DE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B7945" w:rsidRDefault="009B121A" w:rsidP="00322DEF">
            <w:r>
              <w:rPr>
                <w:rFonts w:eastAsia="Times New Roman"/>
                <w:sz w:val="24"/>
                <w:szCs w:val="24"/>
              </w:rPr>
              <w:t>4,</w:t>
            </w:r>
            <w:r w:rsidR="00322DE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567B96" w:rsidTr="009B121A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долга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9B121A" w:rsidRPr="00567B96" w:rsidTr="009B121A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A4DB7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567B96" w:rsidTr="0040590A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B121A" w:rsidRPr="00567B96" w:rsidTr="00803FF6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B121A" w:rsidRPr="00567B96" w:rsidTr="009B121A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322DEF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9B121A" w:rsidRPr="00567B96" w:rsidTr="009B121A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121A" w:rsidRPr="00567B96" w:rsidTr="009B121A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567B96" w:rsidTr="009E048D">
        <w:trPr>
          <w:trHeight w:val="52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9B121A" w:rsidRPr="00567B96" w:rsidTr="001C2211">
        <w:trPr>
          <w:trHeight w:val="233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9B121A" w:rsidRPr="00567B96" w:rsidTr="009B121A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252756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567B96" w:rsidTr="009B121A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9B121A" w:rsidRPr="00567B96" w:rsidTr="00240D22">
        <w:trPr>
          <w:trHeight w:val="29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B121A" w:rsidRPr="00567B96" w:rsidTr="00C0369E">
        <w:trPr>
          <w:trHeight w:val="358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Управление муниципальным долгом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B121A" w:rsidRPr="00567B96" w:rsidTr="009B121A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Отношение муниципального долга к доходам 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567B96" w:rsidTr="009B121A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Отношение годовой суммы платежей на погашение и обслуживание муниципального долга к доходам 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567B96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567B96" w:rsidTr="009B121A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Доля расходов на обслуживание муниципального долга в объеме расходов 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567B96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B121A" w:rsidRPr="00567B96" w:rsidTr="009B121A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B121A" w:rsidRPr="00567B96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муниципальной программе </w:t>
            </w:r>
            <w:proofErr w:type="spellStart"/>
            <w:r w:rsidRPr="00FA3B69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  <w:lang w:eastAsia="en-US"/>
              </w:rPr>
              <w:t xml:space="preserve">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C11DB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="00DC11DB">
              <w:rPr>
                <w:sz w:val="28"/>
                <w:szCs w:val="28"/>
                <w:lang w:eastAsia="en-US"/>
              </w:rPr>
              <w:t xml:space="preserve">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</w:t>
      </w:r>
      <w:proofErr w:type="spellStart"/>
      <w:r w:rsidR="00DC11DB">
        <w:rPr>
          <w:sz w:val="28"/>
          <w:szCs w:val="28"/>
          <w:lang w:eastAsia="en-US"/>
        </w:rPr>
        <w:t>Идринского</w:t>
      </w:r>
      <w:proofErr w:type="spellEnd"/>
      <w:r w:rsidR="00DC11DB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C95AD3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C95AD3">
              <w:rPr>
                <w:rFonts w:eastAsia="Times New Roman"/>
                <w:sz w:val="24"/>
                <w:szCs w:val="24"/>
              </w:rPr>
              <w:t>6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22D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133C">
              <w:rPr>
                <w:b/>
                <w:sz w:val="22"/>
                <w:szCs w:val="22"/>
              </w:rPr>
              <w:t>1</w:t>
            </w:r>
            <w:r w:rsidR="00322DEF">
              <w:rPr>
                <w:b/>
                <w:sz w:val="22"/>
                <w:szCs w:val="22"/>
              </w:rPr>
              <w:t>9 921 985,0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322D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22DEF">
              <w:rPr>
                <w:b/>
                <w:sz w:val="22"/>
                <w:szCs w:val="22"/>
              </w:rPr>
              <w:t>9 559 424,0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322D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22DEF">
              <w:rPr>
                <w:b/>
                <w:sz w:val="22"/>
                <w:szCs w:val="22"/>
              </w:rPr>
              <w:t>9 204 109,0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322DEF" w:rsidP="00322D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358 685 518,0</w:t>
            </w:r>
          </w:p>
        </w:tc>
      </w:tr>
      <w:tr w:rsidR="001B73BA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3BA" w:rsidRPr="00567B96" w:rsidRDefault="001B73B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3BA" w:rsidRPr="00567B96" w:rsidRDefault="001B73B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3BA" w:rsidRPr="00567B96" w:rsidRDefault="001B73B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3BA" w:rsidRPr="00567B96" w:rsidRDefault="001B73B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119 921 985,0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119 559 424,0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3BA" w:rsidRPr="0087499E" w:rsidRDefault="001B73BA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119 204 109,0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3BA" w:rsidRPr="0087499E" w:rsidRDefault="001B73BA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358 685 518,0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 xml:space="preserve">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567B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 xml:space="preserve">всего расходные обязательства по подпрограмме, в </w:t>
            </w:r>
            <w:r w:rsidRPr="00567B96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110 846 335,0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331 458 568,0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29 729 889,0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29 729 889,0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89 189 667,0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57 966 946,0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62 234 285,0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61 878 970,0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182 080 201,0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1B73B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27 166 950,0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27 166 950,0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25 271 130,0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F04679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 w:rsidR="00E6428D">
              <w:rPr>
                <w:b/>
                <w:sz w:val="22"/>
                <w:szCs w:val="22"/>
              </w:rPr>
              <w:t> 000,0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04679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F04679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428D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</w:t>
            </w:r>
          </w:p>
        </w:tc>
      </w:tr>
      <w:tr w:rsidR="000F0E72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к муниципальной  программе </w:t>
            </w:r>
            <w:proofErr w:type="spellStart"/>
            <w:r w:rsidRPr="00F900E6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900E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</w:t>
            </w:r>
            <w:proofErr w:type="spellStart"/>
            <w:r w:rsidRPr="00F900E6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900E6">
              <w:rPr>
                <w:sz w:val="28"/>
                <w:szCs w:val="28"/>
                <w:lang w:eastAsia="en-US"/>
              </w:rPr>
              <w:t xml:space="preserve">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</w:t>
      </w:r>
      <w:proofErr w:type="spellStart"/>
      <w:r w:rsidRPr="00F900E6">
        <w:rPr>
          <w:rFonts w:eastAsia="Times New Roman"/>
          <w:sz w:val="28"/>
          <w:szCs w:val="28"/>
        </w:rPr>
        <w:t>Идринского</w:t>
      </w:r>
      <w:proofErr w:type="spellEnd"/>
      <w:r w:rsidRPr="00F900E6">
        <w:rPr>
          <w:rFonts w:eastAsia="Times New Roman"/>
          <w:sz w:val="28"/>
          <w:szCs w:val="28"/>
        </w:rPr>
        <w:t xml:space="preserve">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</w:t>
      </w:r>
      <w:proofErr w:type="spellStart"/>
      <w:r w:rsidR="00D223E7">
        <w:rPr>
          <w:sz w:val="28"/>
          <w:szCs w:val="28"/>
          <w:lang w:eastAsia="en-US"/>
        </w:rPr>
        <w:t>Идринского</w:t>
      </w:r>
      <w:proofErr w:type="spellEnd"/>
      <w:r w:rsidR="00D223E7">
        <w:rPr>
          <w:sz w:val="28"/>
          <w:szCs w:val="28"/>
          <w:lang w:eastAsia="en-US"/>
        </w:rPr>
        <w:t xml:space="preserve">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 w:firstRow="1" w:lastRow="0" w:firstColumn="1" w:lastColumn="0" w:noHBand="0" w:noVBand="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DD796E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C95AD3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C95AD3">
              <w:rPr>
                <w:rFonts w:eastAsia="Times New Roman"/>
                <w:sz w:val="24"/>
                <w:szCs w:val="24"/>
              </w:rPr>
              <w:t>6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D796E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D796E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D796E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района</w:t>
            </w:r>
          </w:p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119 921 985,0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119 559 424,0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119 204 109,0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358 685 518,0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60 188 700,0</w:t>
            </w:r>
          </w:p>
        </w:tc>
      </w:tr>
      <w:tr w:rsidR="00DD796E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96 772 485,0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101 039 824,0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100 684 509,0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298 496 818,0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567B96">
              <w:rPr>
                <w:b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110 846 335,0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331 458 568,0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87 696 835,0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91 964 174,0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91 608 859,0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271 269 868,0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87499E" w:rsidRDefault="00DD796E" w:rsidP="00447C0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27 166 950,0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DD796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DD796E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DD796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DD796E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DD796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DD796E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DD796E" w:rsidRDefault="00DD796E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96E">
              <w:rPr>
                <w:sz w:val="22"/>
                <w:szCs w:val="22"/>
              </w:rPr>
              <w:t>27 166 950,0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B96">
              <w:rPr>
                <w:b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23AA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D796E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3AA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муниципальных образований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7701FA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7701FA">
              <w:rPr>
                <w:sz w:val="28"/>
                <w:szCs w:val="28"/>
              </w:rPr>
              <w:t>6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B83A9A">
              <w:rPr>
                <w:sz w:val="28"/>
                <w:szCs w:val="28"/>
              </w:rPr>
              <w:t>331 4568 568,00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60 188 700,00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271 269 868,0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7701FA">
              <w:rPr>
                <w:sz w:val="28"/>
                <w:szCs w:val="28"/>
              </w:rPr>
              <w:t>4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B83A9A">
              <w:rPr>
                <w:sz w:val="28"/>
                <w:szCs w:val="28"/>
              </w:rPr>
              <w:t>110 846 335,00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23 149 500,00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87 696 835</w:t>
            </w:r>
            <w:r w:rsidR="00F645F7">
              <w:rPr>
                <w:sz w:val="28"/>
                <w:szCs w:val="28"/>
              </w:rPr>
              <w:t>,</w:t>
            </w:r>
            <w:r w:rsidR="00E972A0">
              <w:rPr>
                <w:sz w:val="28"/>
                <w:szCs w:val="28"/>
              </w:rPr>
              <w:t>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7701FA">
              <w:rPr>
                <w:sz w:val="28"/>
                <w:szCs w:val="28"/>
              </w:rPr>
              <w:t>5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B83A9A">
              <w:rPr>
                <w:sz w:val="28"/>
                <w:szCs w:val="28"/>
              </w:rPr>
              <w:t>110 483 774</w:t>
            </w:r>
            <w:r w:rsidR="00F645F7">
              <w:rPr>
                <w:sz w:val="28"/>
                <w:szCs w:val="28"/>
              </w:rPr>
              <w:t>,</w:t>
            </w:r>
            <w:r w:rsidR="00E972A0">
              <w:rPr>
                <w:sz w:val="28"/>
                <w:szCs w:val="28"/>
              </w:rPr>
              <w:t>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B83A9A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18 519 600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91 964 174,00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7701FA">
              <w:rPr>
                <w:sz w:val="28"/>
                <w:szCs w:val="28"/>
              </w:rPr>
              <w:t>6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B83A9A">
              <w:rPr>
                <w:sz w:val="28"/>
                <w:szCs w:val="28"/>
              </w:rPr>
              <w:t>110 128 459,00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A9A">
              <w:rPr>
                <w:sz w:val="28"/>
                <w:szCs w:val="28"/>
              </w:rPr>
              <w:t>8 519 600,</w:t>
            </w:r>
            <w:r w:rsidR="00E972A0">
              <w:rPr>
                <w:sz w:val="28"/>
                <w:szCs w:val="28"/>
              </w:rPr>
              <w:t xml:space="preserve">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B83A9A" w:rsidP="00B83A9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91 608 859,</w:t>
            </w:r>
            <w:r w:rsidR="00E972A0">
              <w:rPr>
                <w:sz w:val="28"/>
                <w:szCs w:val="28"/>
              </w:rPr>
              <w:t>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Default="00B5005E" w:rsidP="00D459E9">
      <w:pPr>
        <w:jc w:val="center"/>
        <w:rPr>
          <w:sz w:val="28"/>
          <w:szCs w:val="28"/>
        </w:rPr>
      </w:pPr>
    </w:p>
    <w:p w:rsidR="00EE4C04" w:rsidRPr="00320D5D" w:rsidRDefault="00EE4C04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lastRenderedPageBreak/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1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</w:t>
      </w:r>
      <w:r w:rsidRPr="00567B96">
        <w:rPr>
          <w:sz w:val="28"/>
          <w:szCs w:val="28"/>
        </w:rPr>
        <w:lastRenderedPageBreak/>
        <w:t xml:space="preserve">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3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4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 xml:space="preserve">управление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</w:t>
      </w:r>
      <w:r w:rsidRPr="00567B96">
        <w:rPr>
          <w:sz w:val="28"/>
          <w:szCs w:val="28"/>
        </w:rPr>
        <w:lastRenderedPageBreak/>
        <w:t>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5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6656E7" w:rsidP="00567B96">
      <w:pPr>
        <w:ind w:firstLine="540"/>
        <w:jc w:val="both"/>
        <w:rPr>
          <w:sz w:val="28"/>
          <w:szCs w:val="28"/>
        </w:rPr>
      </w:pPr>
      <w:hyperlink r:id="rId16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FA3B69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  <w:lang w:eastAsia="en-US"/>
              </w:rPr>
              <w:t xml:space="preserve">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 xml:space="preserve">муниципальных образований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3C53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3C53B4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3C53B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3C53B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3C53B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  <w:lang w:eastAsia="en-US"/>
              </w:rPr>
              <w:t xml:space="preserve">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1F20A1" w:rsidP="001F2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F20A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F20A1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F20A1">
              <w:rPr>
                <w:sz w:val="24"/>
                <w:szCs w:val="24"/>
              </w:rPr>
              <w:t>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F20A1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15,2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FA3B69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  <w:lang w:eastAsia="en-US"/>
              </w:rPr>
              <w:t xml:space="preserve">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gramEnd"/>
            <w:r w:rsidRPr="00DF29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AF643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AF643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AF643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F643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AF64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F643A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 xml:space="preserve">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C6D34" w:rsidP="00CC6D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CC6D34" w:rsidP="00CC6D34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89 189 667,0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1F20A1">
              <w:rPr>
                <w:sz w:val="24"/>
                <w:szCs w:val="24"/>
                <w:lang w:eastAsia="en-US"/>
              </w:rPr>
              <w:t>4,8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23 149 500,0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60 188 700,0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1F20A1">
              <w:rPr>
                <w:sz w:val="24"/>
                <w:szCs w:val="24"/>
                <w:lang w:eastAsia="en-US"/>
              </w:rPr>
              <w:t>4,8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57 966 946,0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62 234 285,0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61 878 970,0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182 080201,0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 xml:space="preserve">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CD322F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CD322F">
              <w:rPr>
                <w:sz w:val="24"/>
                <w:szCs w:val="24"/>
                <w:lang w:eastAsia="en-US"/>
              </w:rPr>
              <w:t>14,7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AF643A">
              <w:rPr>
                <w:sz w:val="24"/>
                <w:szCs w:val="24"/>
                <w:lang w:eastAsia="en-US"/>
              </w:rPr>
              <w:t>4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B11F3E">
              <w:rPr>
                <w:sz w:val="24"/>
                <w:szCs w:val="24"/>
                <w:lang w:eastAsia="en-US"/>
              </w:rPr>
              <w:t>1</w:t>
            </w:r>
            <w:r w:rsidR="00CD322F">
              <w:rPr>
                <w:sz w:val="24"/>
                <w:szCs w:val="24"/>
                <w:lang w:eastAsia="en-US"/>
              </w:rPr>
              <w:t xml:space="preserve">4,8 </w:t>
            </w:r>
            <w:proofErr w:type="spellStart"/>
            <w:r w:rsidR="008F1FC2">
              <w:rPr>
                <w:sz w:val="24"/>
                <w:szCs w:val="24"/>
                <w:lang w:eastAsia="en-US"/>
              </w:rPr>
              <w:t>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</w:t>
            </w:r>
            <w:proofErr w:type="spellEnd"/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AF643A">
              <w:rPr>
                <w:sz w:val="24"/>
                <w:szCs w:val="24"/>
                <w:lang w:eastAsia="en-US"/>
              </w:rPr>
              <w:t>5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CD322F">
              <w:rPr>
                <w:sz w:val="24"/>
                <w:szCs w:val="24"/>
                <w:lang w:eastAsia="en-US"/>
              </w:rPr>
              <w:t>15,2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AF643A">
              <w:rPr>
                <w:sz w:val="24"/>
                <w:szCs w:val="24"/>
                <w:lang w:eastAsia="en-US"/>
              </w:rPr>
              <w:t>6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финансами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 xml:space="preserve">муниципальной финансовой системы </w:t>
            </w:r>
            <w:proofErr w:type="spellStart"/>
            <w:r w:rsidRPr="002357A3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AF643A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AF643A">
              <w:rPr>
                <w:sz w:val="28"/>
                <w:szCs w:val="28"/>
              </w:rPr>
              <w:t>6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D322F">
              <w:rPr>
                <w:sz w:val="28"/>
                <w:szCs w:val="28"/>
              </w:rPr>
              <w:t>27 166 950,0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CD322F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AF643A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D322F">
              <w:rPr>
                <w:sz w:val="28"/>
                <w:szCs w:val="28"/>
              </w:rPr>
              <w:t>9 055 650,0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AF643A">
              <w:rPr>
                <w:sz w:val="28"/>
                <w:szCs w:val="28"/>
              </w:rPr>
              <w:t>5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CD322F">
              <w:rPr>
                <w:sz w:val="28"/>
                <w:szCs w:val="28"/>
              </w:rPr>
              <w:t>9 055 650,0</w:t>
            </w:r>
            <w:r w:rsidR="009F02E5" w:rsidRPr="00D53928">
              <w:rPr>
                <w:sz w:val="28"/>
                <w:szCs w:val="28"/>
              </w:rPr>
              <w:t xml:space="preserve">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CD3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AF643A">
              <w:rPr>
                <w:sz w:val="28"/>
                <w:szCs w:val="28"/>
              </w:rPr>
              <w:t>6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D322F">
              <w:rPr>
                <w:sz w:val="28"/>
                <w:szCs w:val="28"/>
              </w:rPr>
              <w:t>9 055 650,0</w:t>
            </w:r>
            <w:r w:rsidR="009F02E5" w:rsidRPr="00D53928">
              <w:rPr>
                <w:sz w:val="28"/>
                <w:szCs w:val="28"/>
              </w:rPr>
              <w:t xml:space="preserve"> рубл</w:t>
            </w:r>
            <w:r w:rsidR="009F02E5">
              <w:rPr>
                <w:sz w:val="28"/>
                <w:szCs w:val="28"/>
              </w:rPr>
              <w:t>ей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настоящее время в сфере руководства и управления финансовыми ресурсами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сохранение условий и стимулов для неоправданного увеличения бюджетных расходов при низкой мотивации органов муниципальной власти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- постановление администрации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 от 09.08.2013 № 303-п «Об утверждении Порядка принятия решений о разработке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формирование пакета документов для представления на рассмотрение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 мониторинг численности муниципальных служащих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 xml:space="preserve">Кроме того, финансовым управлением при формировании прогноза расходов консолидированного бюджета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7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AF643A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AF643A">
        <w:rPr>
          <w:sz w:val="28"/>
          <w:szCs w:val="28"/>
        </w:rPr>
        <w:t>5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AF643A">
        <w:rPr>
          <w:sz w:val="28"/>
          <w:szCs w:val="28"/>
        </w:rPr>
        <w:t>6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CC7334">
              <w:rPr>
                <w:sz w:val="28"/>
                <w:szCs w:val="28"/>
              </w:rPr>
              <w:t>Идринского</w:t>
            </w:r>
            <w:proofErr w:type="spellEnd"/>
            <w:r w:rsidRPr="00CC7334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0E2CE3" w:rsidRPr="000E2CE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0E2CE3" w:rsidRPr="000E2CE3">
        <w:rPr>
          <w:rFonts w:ascii="Times New Roman" w:hAnsi="Times New Roman"/>
          <w:sz w:val="28"/>
          <w:szCs w:val="28"/>
        </w:rPr>
        <w:t xml:space="preserve">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A56D0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A56D0C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CC7334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CC7334">
              <w:rPr>
                <w:sz w:val="28"/>
                <w:szCs w:val="28"/>
              </w:rPr>
              <w:t>Идринского</w:t>
            </w:r>
            <w:proofErr w:type="spellEnd"/>
            <w:r w:rsidRPr="00CC7334">
              <w:rPr>
                <w:sz w:val="28"/>
                <w:szCs w:val="28"/>
              </w:rPr>
              <w:t xml:space="preserve">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A56D0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A56D0C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</w:t>
            </w:r>
            <w:proofErr w:type="spellStart"/>
            <w:r w:rsidRPr="00CC7334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CC7334">
              <w:rPr>
                <w:sz w:val="24"/>
                <w:szCs w:val="24"/>
              </w:rPr>
              <w:lastRenderedPageBreak/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9 055 650,0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27 166 950,0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102C68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2C68" w:rsidRPr="00CC7334" w:rsidRDefault="00102C68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68" w:rsidRPr="00CC733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02C68" w:rsidRPr="00CC733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DA205A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DA205A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DA205A" w:rsidRDefault="00102C68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DA205A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5B307F" w:rsidRDefault="00102C68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9 055 650,0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5B307F" w:rsidRDefault="00102C68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5B307F" w:rsidRDefault="00102C68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5B307F" w:rsidRDefault="00102C68" w:rsidP="00447C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27 166 950,0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33030B" w:rsidRDefault="00102C68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8 423 710,0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8 423 710,0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8 423 710,0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25 271 130,0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9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муниципальными гражданскими служащими, работающими в ФУ администрации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D25A6"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="008D25A6" w:rsidRPr="008D25A6">
              <w:rPr>
                <w:bCs/>
                <w:sz w:val="24"/>
                <w:szCs w:val="24"/>
              </w:rPr>
              <w:t xml:space="preserve">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 xml:space="preserve">ии </w:t>
            </w:r>
            <w:proofErr w:type="spellStart"/>
            <w:r w:rsidRPr="00CC7334">
              <w:rPr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8D25A6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финансами </w:t>
            </w:r>
            <w:proofErr w:type="spell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</w:t>
      </w:r>
      <w:proofErr w:type="spellStart"/>
      <w:r w:rsidRPr="002357A3">
        <w:rPr>
          <w:rFonts w:ascii="Times New Roman" w:hAnsi="Times New Roman"/>
          <w:bCs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bCs/>
          <w:sz w:val="28"/>
          <w:szCs w:val="28"/>
        </w:rPr>
        <w:t xml:space="preserve">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муниципальным долгом </w:t>
            </w:r>
            <w:proofErr w:type="spellStart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proofErr w:type="spellStart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A56D0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A56D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56D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Долговая политика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(далее - долговая политика) является неотъемлемой частью финансовой политики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а) доля расходов на обслуживание муниципального долга в объеме расходов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расходов на обслуживание муниципального долга за соответствующий год к объему расходов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б) отношение годовой суммы платежей на погашение и обслуживание муниципального долга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Сведения о наличии просроченной задолженности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 соответствующий год доступны в муниципальной долговой книге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г) отношение муниципального долга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муниципального долга за соответствующий год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6656E7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Реализацию мероприятий подпрограммы осуществляет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2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Указанные ограничения должны соблюдаться при утверждении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отчета о его исполнении и внесении изменений в бюджет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Расходование средств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Долговая история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средств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реализацию мероприятий подпрограммы является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Текущий контроль заходом реализации подпрограммы осуществляется финансовым управлением администрации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сохранение объема муниципального долга на уровне, не превышающем объем доходов бюджета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отсутствие выплат из бюджета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6656E7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B6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 xml:space="preserve">реализуемой в рамках муниципальной программы «Управление муниципальными финансами </w:t>
            </w:r>
            <w:proofErr w:type="spellStart"/>
            <w:r w:rsidRPr="0076398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76398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763989" w:rsidRPr="00763989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763989" w:rsidRPr="00763989">
        <w:rPr>
          <w:rFonts w:ascii="Times New Roman" w:hAnsi="Times New Roman"/>
          <w:sz w:val="28"/>
          <w:szCs w:val="28"/>
        </w:rPr>
        <w:t xml:space="preserve">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A56D0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proofErr w:type="spellStart"/>
            <w:r w:rsidRPr="00CC7334">
              <w:rPr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муниципального долга к доходам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годовой суммы платежей на погашение и обслуживание муниципального долга к доходам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 на обслуживание муниципального долга в объеме расходов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долговая книга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B6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 xml:space="preserve">реализуемой в рамках муниципальной программы «Управление муниципальными финансами </w:t>
            </w:r>
            <w:proofErr w:type="spellStart"/>
            <w:r w:rsidRPr="0076398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76398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gramEnd"/>
            <w:r w:rsidRPr="008B09DC">
              <w:rPr>
                <w:sz w:val="24"/>
                <w:szCs w:val="24"/>
              </w:rPr>
              <w:t>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A56D0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56D0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1. Сохранение объема и структуры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1.1. Разработка программы муниципальных внутренних заимствований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2. Соблюдение ограничений по объему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6656E7" w:rsidP="00A01A84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6656E7" w:rsidP="00A01A84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3.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3.1. Осуществление расходов на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0663" w:rsidRPr="008B09DC">
              <w:rPr>
                <w:sz w:val="24"/>
                <w:szCs w:val="24"/>
              </w:rPr>
              <w:t>0</w:t>
            </w:r>
            <w:r w:rsidR="00A347DF"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3.2. Соблюдение сроков исполнения долговых обязательств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своевременное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(ежегодно)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 xml:space="preserve">В том числе по 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D" w:rsidRDefault="00D340FD">
      <w:r>
        <w:separator/>
      </w:r>
    </w:p>
  </w:endnote>
  <w:endnote w:type="continuationSeparator" w:id="0">
    <w:p w:rsidR="00D340FD" w:rsidRDefault="00D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D" w:rsidRDefault="00D340FD">
      <w:r>
        <w:separator/>
      </w:r>
    </w:p>
  </w:footnote>
  <w:footnote w:type="continuationSeparator" w:id="0">
    <w:p w:rsidR="00D340FD" w:rsidRDefault="00D3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27A2C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BC5"/>
    <w:rsid w:val="000C3F17"/>
    <w:rsid w:val="000C4BA9"/>
    <w:rsid w:val="000C64E8"/>
    <w:rsid w:val="000C7FC2"/>
    <w:rsid w:val="000D15BA"/>
    <w:rsid w:val="000D4987"/>
    <w:rsid w:val="000D4D71"/>
    <w:rsid w:val="000D6AD1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101024"/>
    <w:rsid w:val="00102C68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B73BA"/>
    <w:rsid w:val="001C10EC"/>
    <w:rsid w:val="001C526C"/>
    <w:rsid w:val="001C5FB6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91"/>
    <w:rsid w:val="001F1FC8"/>
    <w:rsid w:val="001F20A1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6C"/>
    <w:rsid w:val="00246162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20D5D"/>
    <w:rsid w:val="00322DEF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862A1"/>
    <w:rsid w:val="00393150"/>
    <w:rsid w:val="003A0FB4"/>
    <w:rsid w:val="003A2005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C53B4"/>
    <w:rsid w:val="003D378F"/>
    <w:rsid w:val="003D39AE"/>
    <w:rsid w:val="003D4A47"/>
    <w:rsid w:val="003D5AE7"/>
    <w:rsid w:val="003F1AA7"/>
    <w:rsid w:val="003F2550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34B3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314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53D9"/>
    <w:rsid w:val="00556AC2"/>
    <w:rsid w:val="005618EF"/>
    <w:rsid w:val="00563037"/>
    <w:rsid w:val="00565782"/>
    <w:rsid w:val="00567B96"/>
    <w:rsid w:val="00570922"/>
    <w:rsid w:val="00580103"/>
    <w:rsid w:val="005905D7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513"/>
    <w:rsid w:val="00650B03"/>
    <w:rsid w:val="00653B08"/>
    <w:rsid w:val="00657101"/>
    <w:rsid w:val="006604B8"/>
    <w:rsid w:val="00664D8A"/>
    <w:rsid w:val="00664FD8"/>
    <w:rsid w:val="006656E7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2CE2"/>
    <w:rsid w:val="006F4DE0"/>
    <w:rsid w:val="006F5C74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01FA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5B7B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1E20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21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02E5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402D"/>
    <w:rsid w:val="00A347DF"/>
    <w:rsid w:val="00A4085C"/>
    <w:rsid w:val="00A55A7F"/>
    <w:rsid w:val="00A55C62"/>
    <w:rsid w:val="00A567B1"/>
    <w:rsid w:val="00A56D0C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0DD2"/>
    <w:rsid w:val="00AE355F"/>
    <w:rsid w:val="00AE544D"/>
    <w:rsid w:val="00AF136B"/>
    <w:rsid w:val="00AF1FF4"/>
    <w:rsid w:val="00AF3DF2"/>
    <w:rsid w:val="00AF49FB"/>
    <w:rsid w:val="00AF643A"/>
    <w:rsid w:val="00B026A0"/>
    <w:rsid w:val="00B04DA2"/>
    <w:rsid w:val="00B11F3E"/>
    <w:rsid w:val="00B126A6"/>
    <w:rsid w:val="00B14587"/>
    <w:rsid w:val="00B1520D"/>
    <w:rsid w:val="00B16F99"/>
    <w:rsid w:val="00B25C61"/>
    <w:rsid w:val="00B2622E"/>
    <w:rsid w:val="00B262F7"/>
    <w:rsid w:val="00B26E25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3A9A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AD3"/>
    <w:rsid w:val="00C95EDD"/>
    <w:rsid w:val="00CA4B9D"/>
    <w:rsid w:val="00CA75D6"/>
    <w:rsid w:val="00CB07C9"/>
    <w:rsid w:val="00CB0843"/>
    <w:rsid w:val="00CB2410"/>
    <w:rsid w:val="00CB2F1B"/>
    <w:rsid w:val="00CC0B2E"/>
    <w:rsid w:val="00CC359B"/>
    <w:rsid w:val="00CC3F7C"/>
    <w:rsid w:val="00CC5941"/>
    <w:rsid w:val="00CC6575"/>
    <w:rsid w:val="00CC674E"/>
    <w:rsid w:val="00CC6D34"/>
    <w:rsid w:val="00CC7334"/>
    <w:rsid w:val="00CD2950"/>
    <w:rsid w:val="00CD322F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40FD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7350"/>
    <w:rsid w:val="00DD796E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4C04"/>
    <w:rsid w:val="00EE52FC"/>
    <w:rsid w:val="00EE626B"/>
    <w:rsid w:val="00EE6C6E"/>
    <w:rsid w:val="00EE71F6"/>
    <w:rsid w:val="00F02078"/>
    <w:rsid w:val="00F024F0"/>
    <w:rsid w:val="00F03E58"/>
    <w:rsid w:val="00F04679"/>
    <w:rsid w:val="00F1197F"/>
    <w:rsid w:val="00F14479"/>
    <w:rsid w:val="00F1581D"/>
    <w:rsid w:val="00F165DE"/>
    <w:rsid w:val="00F17B2B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7486F7C652E559EF030CB13DB324AA4035508FD9C4E8B33A81EF0yDr0K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9697B6971029CA165C516D36210B4071C5CF98346952CAA00F3D8E1y9r5K" TargetMode="External"/><Relationship Id="rId17" Type="http://schemas.openxmlformats.org/officeDocument/2006/relationships/hyperlink" Target="consultantplus://offline/ref=F76009F7F1F0F51CD7FDDA8F08DD0098CD5662CDB98280CE0BABF465FCCA0B08E444C315F615EFB5qFE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5F4FC2F8FC11AD29283CC52ACCEB8C0C4A3D7466B34D00CB26F1EACADD8E10EAD69CC72D86F210CA8A4B69n8MDK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24" Type="http://schemas.openxmlformats.org/officeDocument/2006/relationships/hyperlink" Target="consultantplus://offline/ref=E4A427603686A645BDD0EB77ACD125E2FAD9B5938A12D22733AF7D4FCDfBE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6009F7F1F0F51CD7FDDA8F08DD0098CD5662CDB98280CE0BABF465FCCA0B08E444C315F615EFB5qFECE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FF830C39CBFA224EE7EFA631435F69E6406C78677B029CA165C516D36210B4071C5CF98346952CAA00F3D8E1y9r5K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16C9-4A6A-4E68-98BE-64EC8F0D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54</Pages>
  <Words>9852</Words>
  <Characters>73026</Characters>
  <Application>Microsoft Office Word</Application>
  <DocSecurity>0</DocSecurity>
  <Lines>608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82713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</cp:lastModifiedBy>
  <cp:revision>63</cp:revision>
  <cp:lastPrinted>2023-11-10T07:16:00Z</cp:lastPrinted>
  <dcterms:created xsi:type="dcterms:W3CDTF">2022-10-24T01:33:00Z</dcterms:created>
  <dcterms:modified xsi:type="dcterms:W3CDTF">2023-11-10T07:17:00Z</dcterms:modified>
</cp:coreProperties>
</file>