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52689A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52689A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52689A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FC2B32" w:rsidP="0038577B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05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FC2B32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FC2B3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259</w:t>
                  </w: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28581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10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1E112F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А.Г.Букатов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29D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9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95B3A" w:rsidRPr="005268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8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80944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Идринского района», 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89A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  <w:r w:rsidR="005A0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5615C" w:rsidRPr="000C223E" w:rsidRDefault="0015615C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7. 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52689A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Default="0052689A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>367 776 590,14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 xml:space="preserve">44 752 284,96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>323 024 305,18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18 215 038,00 руб. в том числе за счет средств районного бюджета 17 635 938,00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E3583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2020 год- 28 691 353,56 руб., в том числе за счет средств районного бюджета 26 056 249,00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>79 341 419,58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>74 047 807,18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>5 293 612,4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2022 год- 70 645 500,00 руб. в том числе за счет средств районного бюджета 69 596 500,00руб.,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2023 год- 70 645 500,00 руб. в том числе за счет средств районного бюджета 69 596 500,00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lastRenderedPageBreak/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услуг в 2019 году составило 64 ед., что на </w:t>
      </w:r>
      <w:r w:rsidR="001E12D2">
        <w:rPr>
          <w:rFonts w:ascii="Times New Roman" w:hAnsi="Times New Roman" w:cs="Times New Roman"/>
          <w:kern w:val="20"/>
          <w:sz w:val="28"/>
          <w:szCs w:val="28"/>
          <w:highlight w:val="white"/>
        </w:rPr>
        <w:t>18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ед., меньше уровня 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Автотранспортные предприятия на территории района отсутствуют.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АТП», ООО «Лань-такси», грузоперевозки - сельскохозяйственные предприятия района.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Объём услуг транспорта всех видов, оказанных всем категориям пользователей,  по чистым видам деятельности (без субъектов предпринимательства),  по итогам 2019 года составил 23,3 тыс. руб., в том числе объём услуг грузового транспорта – 23,3 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</w:t>
      </w:r>
      <w:r w:rsidR="001E12D2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человек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Краевое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 АТП»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яд лет остаются неизменными, в перспективе открытие новых маршрутов и увеличение их протяжённости не планируется.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Незначительное увеличение объема услуг связи связано, прежде всего, с увеличением пол</w:t>
      </w:r>
      <w:r w:rsidR="001E12D2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ьзователей сети интернет. В 2019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</w:t>
      </w:r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конец</w:t>
      </w:r>
      <w:proofErr w:type="gramEnd"/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2019 года составляет 2443 единицы.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5062E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Идринский»,  которое предоставляло услуги по сбору и вывозу ТБО и  откачке септиков, находится в стадии ликвидации.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снижении  значения показателя отразился факт не предоставления статистической отчётности, одной из организаций, занимающейся предоставлением жилищно-коммунальных услуг, а также сокращение объёма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по услуге «теплоснабжение», по причине более высокого температурного режима наружного воздуха в периоде отопления и установкой приборов учёта потребления тепло</w:t>
      </w:r>
      <w:r w:rsidR="00540F58">
        <w:rPr>
          <w:rFonts w:ascii="Times New Roman CYR" w:hAnsi="Times New Roman CYR" w:cs="Times New Roman CYR"/>
          <w:kern w:val="20"/>
          <w:sz w:val="28"/>
          <w:szCs w:val="28"/>
        </w:rPr>
        <w:t>вой энергии, как в организациях, так и многоквартирных домах.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9880,2 тыс. руб.,  по итогам 2018 года показатель имел значение 6442,8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как  незначительным увеличением платы населением (в объёме допустимого индекса роста), за потребляемые услуги, так и увеличением численности плательщиков налога за сбор и вывоз твёрдых коммунальных отходов.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2019 года составил  95,19 %,  по оценке 2020 года показатель должен достигнуть значения  95,50 %.</w:t>
      </w:r>
    </w:p>
    <w:p w:rsidR="00540F58" w:rsidRDefault="0035062E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Расходы на капитальный ремонт объектов коммунальной инфраструктуры, за счет всех источников финансирования по итогам 2019 года составили 3687,61 тыс. руб., что составляет 55,19 % к уровню 2018 года. Значение показателя находится в прямой зависимости от  сумм средств, выделяемых по программе устойчивости и модернизации объектов жилищн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коммунального хозяйства.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Из общей суммы затрат на данные цели: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- средства бюджета края – 3626,7 тыс. руб., в том числе  3499,01 тыс. руб. по програм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ме модернизации  объектов ЖКХ;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127,76 тыс. руб. подде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ржка программ местных инициатив;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- средства местного бюджета – 60,84  тыс. руб., в том числе </w:t>
      </w:r>
      <w:r w:rsidRPr="00841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38,49 тыс.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по модернизации объектов ЖКХ,  22,35 тыс. 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программ местных инициатив. 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По программе поддержания надёжности объектов инфраструктуры выполнены работы по капитальному ремонту системы водоснабжения в селе Большие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Кныши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, приобрете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н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о котельное оборудование для котельной № 4 «ЦРБ»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с. Идринское. По программе местных инициатив  произведён ремонт уличного освещения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. Никольское и п. Центральный.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lastRenderedPageBreak/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077394" w:rsidRPr="006E7813" w:rsidRDefault="00077394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A90FF7" w:rsidRPr="00A90FF7">
        <w:rPr>
          <w:rFonts w:ascii="Times New Roman" w:eastAsia="Calibri" w:hAnsi="Times New Roman" w:cs="Times New Roman"/>
          <w:sz w:val="28"/>
          <w:szCs w:val="28"/>
        </w:rPr>
        <w:t>69</w:t>
      </w:r>
      <w:r w:rsidR="00A9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r w:rsidR="00350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13">
        <w:rPr>
          <w:rFonts w:ascii="Times New Roman" w:eastAsia="Calibri" w:hAnsi="Times New Roman" w:cs="Times New Roman"/>
          <w:sz w:val="28"/>
          <w:szCs w:val="28"/>
        </w:rPr>
        <w:t>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Идринского района, именуемое в дальнейшем МКУ ЦТО, является некоммерческой организацией, созданной муниципальным образованием Идринский район, в лице администрации Идринского района Красноярского края в целях  обеспечения реализации  предусмотренных законодательством Российской Федерации полномочий в сфере культуры, </w:t>
      </w:r>
      <w:r w:rsidR="006C40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407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</w:t>
      </w:r>
      <w:r w:rsidRPr="006C40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 законом от 12.01.1996 г. № 7- ФЗ  « О некоммерческих организациях».</w:t>
      </w:r>
      <w:proofErr w:type="gramEnd"/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6C407D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Pr="006C407D">
        <w:rPr>
          <w:rFonts w:ascii="Times New Roman" w:hAnsi="Times New Roman" w:cs="Times New Roman"/>
          <w:sz w:val="28"/>
          <w:szCs w:val="28"/>
        </w:rPr>
        <w:t xml:space="preserve"> Идринского района Красноярского края.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 </w:t>
      </w:r>
      <w:r w:rsidRPr="006C407D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8B1AE2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</w:t>
      </w:r>
      <w:r w:rsidRPr="000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итогам 2019 года проведен капитальный ремонт крыши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МБУК МКС филиал СД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К с. </w:t>
      </w:r>
      <w:proofErr w:type="spellStart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>Куреж</w:t>
      </w:r>
      <w:proofErr w:type="spellEnd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перевод поселенческой библ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отеки в СК и ремонт здания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Иннокентьевка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в 2020 году 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–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системы отопления, ремонт стен, потолков и полов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филиа</w:t>
      </w:r>
      <w:r w:rsidR="00727738">
        <w:rPr>
          <w:rFonts w:ascii="Times New Roman CYR" w:hAnsi="Times New Roman CYR" w:cs="Times New Roman CYR"/>
          <w:kern w:val="20"/>
          <w:sz w:val="28"/>
          <w:szCs w:val="28"/>
        </w:rPr>
        <w:t>ле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С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 д. Козино; ремонт 1 кабинета филиал</w:t>
      </w:r>
      <w:r w:rsidR="005C0B55">
        <w:rPr>
          <w:rFonts w:ascii="Times New Roman CYR" w:hAnsi="Times New Roman CYR" w:cs="Times New Roman CYR"/>
          <w:kern w:val="20"/>
          <w:sz w:val="28"/>
          <w:szCs w:val="28"/>
        </w:rPr>
        <w:t>а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СДК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. Отрок;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перевод поселенческой библиотеки в помещение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ФАПа</w:t>
      </w:r>
      <w:proofErr w:type="spell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и его капитальный ремонт 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частичный капитальный ремонт здания филиала СДК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 здания филиала СК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Колдыбай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крыши, здания филиала СК д. Средняя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Салба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; капитальный ремонт здания СК п. Майский; капитальный ремонт здания СДК с. Екатериновка; ремонт фойе Идринский РДК.</w:t>
      </w:r>
      <w:proofErr w:type="gramEnd"/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требующих капитального ремонта – 22 ед.</w:t>
      </w:r>
    </w:p>
    <w:p w:rsidR="008B1AE2" w:rsidRPr="00B5114D" w:rsidRDefault="008B1AE2" w:rsidP="008B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Необходим перевод учреждений и организаций с </w:t>
      </w:r>
      <w:proofErr w:type="spellStart"/>
      <w:r w:rsidRPr="00B5114D">
        <w:rPr>
          <w:rFonts w:ascii="Times New Roman" w:eastAsia="Times New Roman" w:hAnsi="Times New Roman" w:cs="Times New Roman"/>
          <w:sz w:val="28"/>
          <w:szCs w:val="28"/>
        </w:rPr>
        <w:t>электроотопления</w:t>
      </w:r>
      <w:proofErr w:type="spell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на твердое топливо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>. Ни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кольское, с. Большой  </w:t>
      </w:r>
      <w:proofErr w:type="spellStart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>Хабык</w:t>
      </w:r>
      <w:proofErr w:type="spellEnd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Телек, 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Майское Утро, с. Идринское (детский сад «Солнышко»)</w:t>
      </w:r>
      <w:r w:rsidRPr="00B51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EB1" w:rsidRPr="006E7813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обществу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.</w:t>
      </w:r>
      <w:r w:rsidR="001A1EB1" w:rsidRPr="006E781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1EB1" w:rsidRPr="006E7813">
        <w:rPr>
          <w:rFonts w:ascii="Times New Roman" w:hAnsi="Times New Roman" w:cs="Times New Roman"/>
          <w:sz w:val="28"/>
          <w:szCs w:val="28"/>
        </w:rPr>
        <w:t>арактерной</w:t>
      </w:r>
      <w:proofErr w:type="spellEnd"/>
      <w:r w:rsidR="001A1EB1" w:rsidRPr="006E7813">
        <w:rPr>
          <w:rFonts w:ascii="Times New Roman" w:hAnsi="Times New Roman" w:cs="Times New Roman"/>
          <w:sz w:val="28"/>
          <w:szCs w:val="28"/>
        </w:rPr>
        <w:t xml:space="preserve">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информационные сети.</w:t>
      </w:r>
    </w:p>
    <w:p w:rsidR="00223347" w:rsidRPr="0035062E" w:rsidRDefault="0084416E" w:rsidP="002233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В 20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 xml:space="preserve">ского края из краевого бюджета - </w:t>
      </w:r>
      <w:r w:rsidR="0011690E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</w:t>
      </w:r>
      <w:r w:rsidRPr="00223347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рганизация сети беспроводного радиодоступа с использованием спутникового канала связи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с. Большие </w:t>
      </w:r>
      <w:proofErr w:type="spell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Кныши</w:t>
      </w:r>
      <w:proofErr w:type="spell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>, с. Новотроицкое.</w:t>
      </w:r>
      <w:proofErr w:type="gram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352F2D">
        <w:rPr>
          <w:rFonts w:ascii="Times New Roman" w:hAnsi="Times New Roman" w:cs="Times New Roman"/>
          <w:sz w:val="28"/>
          <w:szCs w:val="28"/>
          <w:highlight w:val="white"/>
        </w:rPr>
        <w:t>Готовится к подаче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на установку вышки сотовой связи в с.</w:t>
      </w:r>
      <w:r w:rsidR="002766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Бол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шой Телек в 2021 году. </w:t>
      </w:r>
      <w:proofErr w:type="gramEnd"/>
    </w:p>
    <w:p w:rsidR="00077394" w:rsidRDefault="00D323B2" w:rsidP="00D3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В 2020 году направлена заявка на получение субсидии на обустройство мест накопления отходов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с. Идринское</w:t>
      </w:r>
      <w:r w:rsidR="0011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>, для полного обеспечения жителей услугой в области обращения с ТКО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409 контейнеров для несортированных коммунальных отходов.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Из-за ситуации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не предоставлялась.</w:t>
      </w:r>
    </w:p>
    <w:p w:rsidR="008B1AE2" w:rsidRDefault="008B1AE2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Идринского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AE2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8B1AE2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7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B1AE2">
        <w:rPr>
          <w:rFonts w:ascii="Times New Roman" w:hAnsi="Times New Roman" w:cs="Times New Roman"/>
          <w:sz w:val="28"/>
          <w:szCs w:val="28"/>
        </w:rPr>
        <w:t xml:space="preserve"> 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>- по подпрограмме 2 «Содействие развитию транспортной системы Идринского района»- увеличение объема субсидий на одного пассажира до</w:t>
      </w:r>
      <w:r w:rsidR="00417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76FF"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208</w:t>
      </w:r>
      <w:r w:rsidRPr="00417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6A3402" w:rsidRPr="00152192">
        <w:rPr>
          <w:rFonts w:ascii="Times New Roman" w:eastAsia="Times New Roman" w:hAnsi="Times New Roman" w:cs="Times New Roman"/>
          <w:sz w:val="28"/>
          <w:szCs w:val="28"/>
        </w:rPr>
        <w:t>91,2</w:t>
      </w:r>
      <w:r w:rsidRPr="00152192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76695">
        <w:rPr>
          <w:rFonts w:ascii="Times New Roman" w:eastAsia="Calibri" w:hAnsi="Times New Roman" w:cs="Times New Roman"/>
          <w:sz w:val="28"/>
          <w:szCs w:val="28"/>
        </w:rPr>
        <w:t>до 1650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B1AE2" w:rsidRDefault="008F348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подпрограмме 7 </w:t>
      </w:r>
      <w:r w:rsidR="008B1AE2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8B1AE2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727738">
        <w:rPr>
          <w:rFonts w:ascii="Times New Roman" w:hAnsi="Times New Roman" w:cs="Times New Roman"/>
          <w:sz w:val="28"/>
          <w:szCs w:val="28"/>
        </w:rPr>
        <w:t xml:space="preserve">9 </w:t>
      </w:r>
      <w:r w:rsidR="008B1AE2" w:rsidRPr="008B1AE2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727738">
        <w:rPr>
          <w:rFonts w:ascii="Times New Roman" w:hAnsi="Times New Roman" w:cs="Times New Roman"/>
          <w:sz w:val="28"/>
          <w:szCs w:val="28"/>
        </w:rPr>
        <w:t xml:space="preserve"> </w:t>
      </w:r>
      <w:r w:rsidR="00727738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D2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ED3D23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ED3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3160"/>
        <w:gridCol w:w="99"/>
        <w:gridCol w:w="64"/>
        <w:gridCol w:w="1078"/>
        <w:gridCol w:w="45"/>
        <w:gridCol w:w="940"/>
        <w:gridCol w:w="7"/>
        <w:gridCol w:w="43"/>
        <w:gridCol w:w="730"/>
        <w:gridCol w:w="27"/>
        <w:gridCol w:w="645"/>
        <w:gridCol w:w="67"/>
        <w:gridCol w:w="9"/>
        <w:gridCol w:w="8"/>
        <w:gridCol w:w="13"/>
        <w:gridCol w:w="6"/>
        <w:gridCol w:w="817"/>
        <w:gridCol w:w="14"/>
        <w:gridCol w:w="13"/>
        <w:gridCol w:w="6"/>
        <w:gridCol w:w="835"/>
        <w:gridCol w:w="8"/>
        <w:gridCol w:w="6"/>
        <w:gridCol w:w="826"/>
        <w:gridCol w:w="18"/>
        <w:gridCol w:w="6"/>
        <w:gridCol w:w="921"/>
        <w:gridCol w:w="34"/>
        <w:gridCol w:w="40"/>
        <w:gridCol w:w="720"/>
        <w:gridCol w:w="71"/>
        <w:gridCol w:w="23"/>
        <w:gridCol w:w="19"/>
        <w:gridCol w:w="454"/>
        <w:gridCol w:w="167"/>
        <w:gridCol w:w="96"/>
        <w:gridCol w:w="176"/>
        <w:gridCol w:w="210"/>
        <w:gridCol w:w="44"/>
        <w:gridCol w:w="23"/>
        <w:gridCol w:w="541"/>
        <w:gridCol w:w="31"/>
        <w:gridCol w:w="9"/>
        <w:gridCol w:w="52"/>
        <w:gridCol w:w="185"/>
        <w:gridCol w:w="10"/>
        <w:gridCol w:w="23"/>
        <w:gridCol w:w="680"/>
        <w:gridCol w:w="31"/>
        <w:gridCol w:w="23"/>
        <w:gridCol w:w="17"/>
        <w:gridCol w:w="34"/>
      </w:tblGrid>
      <w:tr w:rsidR="006E7813" w:rsidRPr="006E7813" w:rsidTr="00060B0D">
        <w:trPr>
          <w:gridAfter w:val="3"/>
          <w:wAfter w:w="72" w:type="dxa"/>
          <w:trHeight w:val="238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14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DF5B9A" w:rsidRPr="006E7813" w:rsidTr="00060B0D">
        <w:trPr>
          <w:trHeight w:val="692"/>
        </w:trPr>
        <w:tc>
          <w:tcPr>
            <w:tcW w:w="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B9A" w:rsidRPr="006E7813" w:rsidRDefault="00DF5B9A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B9A" w:rsidRPr="006E7813" w:rsidTr="00060B0D">
        <w:trPr>
          <w:trHeight w:val="951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DF5B9A" w:rsidRPr="006E7813" w:rsidTr="00060B0D">
        <w:trPr>
          <w:gridAfter w:val="3"/>
          <w:wAfter w:w="72" w:type="dxa"/>
          <w:trHeight w:val="49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C32B79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F5B9A" w:rsidRPr="006E7813" w:rsidRDefault="00DF5B9A" w:rsidP="00DF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F5B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152192" w:rsidP="00152192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DF5B9A" w:rsidRPr="006E7813" w:rsidTr="00060B0D">
        <w:trPr>
          <w:gridAfter w:val="4"/>
          <w:wAfter w:w="105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DF5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95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6E7813" w:rsidRPr="006E7813" w:rsidTr="00060B0D">
        <w:trPr>
          <w:gridAfter w:val="3"/>
          <w:wAfter w:w="72" w:type="dxa"/>
          <w:trHeight w:val="403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2190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7. Организация технического и хозяйственного обслуживания,</w:t>
            </w:r>
          </w:p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2405BF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Pr="006E7813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технически исправного котельного </w:t>
            </w: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6E7813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8.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района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5BF" w:rsidRPr="006E7813" w:rsidTr="00060B0D">
        <w:trPr>
          <w:gridAfter w:val="3"/>
          <w:wAfter w:w="72" w:type="dxa"/>
          <w:trHeight w:val="487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52F2D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основных мерах правового регулирования в соответствующей сфере (области) на достижение цели и (или) задач муниципальной </w:t>
      </w:r>
      <w:proofErr w:type="spellStart"/>
      <w:r w:rsidRPr="00776C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="002D4459" w:rsidRPr="00D4006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D4459" w:rsidRPr="00D40066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D069A9" w:rsidTr="00D069A9">
        <w:tc>
          <w:tcPr>
            <w:tcW w:w="10031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D069A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32"/>
        <w:gridCol w:w="1417"/>
        <w:gridCol w:w="1476"/>
        <w:gridCol w:w="1692"/>
      </w:tblGrid>
      <w:tr w:rsidR="00D069A9" w:rsidRPr="00CC17E4" w:rsidTr="00143CEB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2" w:type="dxa"/>
            <w:tcBorders>
              <w:bottom w:val="nil"/>
              <w:right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val="1182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2021 г.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CC17E4" w:rsidTr="00143CEB">
        <w:trPr>
          <w:trHeight w:val="414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hRule="exact" w:val="362"/>
          <w:jc w:val="center"/>
        </w:trPr>
        <w:tc>
          <w:tcPr>
            <w:tcW w:w="660" w:type="dxa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9A9" w:rsidRPr="00CC17E4" w:rsidTr="00143CEB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2" w:type="dxa"/>
            <w:noWrap/>
            <w:vAlign w:val="center"/>
          </w:tcPr>
          <w:p w:rsidR="00D069A9" w:rsidRPr="00287643" w:rsidRDefault="00143CE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79 341 419,58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692" w:type="dxa"/>
            <w:vAlign w:val="center"/>
          </w:tcPr>
          <w:p w:rsidR="00D069A9" w:rsidRPr="00287643" w:rsidRDefault="00143CE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220 632 419,58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8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2" w:type="dxa"/>
            <w:noWrap/>
            <w:vAlign w:val="center"/>
          </w:tcPr>
          <w:p w:rsidR="00D069A9" w:rsidRPr="00287643" w:rsidRDefault="00143CEB" w:rsidP="006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79 288</w:t>
            </w:r>
            <w:r w:rsidR="00640271">
              <w:rPr>
                <w:rFonts w:ascii="Times New Roman" w:eastAsia="Times New Roman" w:hAnsi="Times New Roman" w:cs="Times New Roman"/>
              </w:rPr>
              <w:t> 519,58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692" w:type="dxa"/>
            <w:vAlign w:val="center"/>
          </w:tcPr>
          <w:p w:rsidR="00D069A9" w:rsidRPr="00287643" w:rsidRDefault="0064027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220 473 719,58</w:t>
            </w:r>
          </w:p>
        </w:tc>
      </w:tr>
      <w:tr w:rsidR="00D069A9" w:rsidRPr="00CC17E4" w:rsidTr="00143CEB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5900,00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D069A9" w:rsidRPr="00CC17E4" w:rsidTr="00143CEB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B66A94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B66A9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141 000,00</w:t>
            </w:r>
          </w:p>
        </w:tc>
      </w:tr>
      <w:tr w:rsidR="00D069A9" w:rsidRPr="00CC17E4" w:rsidTr="00143CEB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9E3A4B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2 637 947,0</w:t>
            </w:r>
          </w:p>
        </w:tc>
        <w:tc>
          <w:tcPr>
            <w:tcW w:w="1417" w:type="dxa"/>
            <w:noWrap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76" w:type="dxa"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692" w:type="dxa"/>
            <w:vAlign w:val="center"/>
          </w:tcPr>
          <w:p w:rsidR="00D069A9" w:rsidRPr="009E3A4B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7 741 767,0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B66A94" w:rsidTr="00143CEB">
        <w:trPr>
          <w:trHeight w:hRule="exact" w:val="708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Администрация Идринского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9353A8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1 893 332</w:t>
            </w:r>
            <w:r w:rsidR="00D069A9" w:rsidRPr="009353A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  <w:vAlign w:val="center"/>
          </w:tcPr>
          <w:p w:rsidR="00D069A9" w:rsidRPr="009353A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76" w:type="dxa"/>
            <w:vAlign w:val="center"/>
          </w:tcPr>
          <w:p w:rsidR="00D069A9" w:rsidRPr="009353A8" w:rsidRDefault="00D069A9" w:rsidP="00D069A9">
            <w:pPr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692" w:type="dxa"/>
            <w:vAlign w:val="center"/>
          </w:tcPr>
          <w:p w:rsidR="00D069A9" w:rsidRPr="009353A8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5 547 834,0</w:t>
            </w:r>
          </w:p>
        </w:tc>
      </w:tr>
      <w:tr w:rsidR="00D069A9" w:rsidRPr="00CC17E4" w:rsidTr="00143CEB">
        <w:trPr>
          <w:trHeight w:hRule="exact" w:val="306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79 800,00</w:t>
            </w:r>
          </w:p>
        </w:tc>
      </w:tr>
      <w:tr w:rsidR="00D069A9" w:rsidRPr="00CC17E4" w:rsidTr="00143CEB">
        <w:trPr>
          <w:trHeight w:hRule="exact" w:val="51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571 786,00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692" w:type="dxa"/>
            <w:vAlign w:val="center"/>
          </w:tcPr>
          <w:p w:rsidR="00D069A9" w:rsidRPr="00B66A94" w:rsidRDefault="009E3A4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1 675 446,00</w:t>
            </w:r>
          </w:p>
        </w:tc>
      </w:tr>
      <w:tr w:rsidR="00D069A9" w:rsidRPr="00CC17E4" w:rsidTr="00143CEB">
        <w:trPr>
          <w:trHeight w:hRule="exact" w:val="341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</w:t>
            </w:r>
            <w:r w:rsidRPr="00FC013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C0139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17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76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692" w:type="dxa"/>
            <w:vAlign w:val="center"/>
          </w:tcPr>
          <w:p w:rsidR="00D069A9" w:rsidRPr="00FC0139" w:rsidRDefault="00D069A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43</w:t>
            </w:r>
            <w:r w:rsidR="009353A8">
              <w:rPr>
                <w:rFonts w:ascii="Times New Roman" w:eastAsia="Times New Roman" w:hAnsi="Times New Roman" w:cs="Times New Roman"/>
              </w:rPr>
              <w:t>8</w:t>
            </w:r>
            <w:r w:rsidRPr="00FC0139">
              <w:rPr>
                <w:rFonts w:ascii="Times New Roman" w:eastAsia="Times New Roman" w:hAnsi="Times New Roman" w:cs="Times New Roman"/>
              </w:rPr>
              <w:t> 687,00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45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287643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35 913 000</w:t>
            </w:r>
            <w:r w:rsidR="00D069A9" w:rsidRPr="0028764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962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5309F1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35 913 </w:t>
            </w:r>
            <w:r w:rsidR="00D069A9" w:rsidRPr="005309F1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D069A9" w:rsidRPr="00CC17E4" w:rsidTr="00143CEB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51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9353A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16 298 444,0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692" w:type="dxa"/>
            <w:vAlign w:val="center"/>
          </w:tcPr>
          <w:p w:rsidR="00D069A9" w:rsidRPr="00287643" w:rsidRDefault="009353A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48 837 974,0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CC17E4" w:rsidTr="00143CEB">
        <w:trPr>
          <w:trHeight w:hRule="exact" w:val="59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9353A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11 747 572,0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35</w:t>
            </w:r>
            <w:r w:rsidR="009353A8">
              <w:rPr>
                <w:rFonts w:ascii="Times New Roman" w:eastAsia="Times New Roman" w:hAnsi="Times New Roman" w:cs="Times New Roman"/>
              </w:rPr>
              <w:t> 198 662,0</w:t>
            </w:r>
          </w:p>
        </w:tc>
      </w:tr>
      <w:tr w:rsidR="00D069A9" w:rsidRPr="00CC17E4" w:rsidTr="00143CEB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55 122,00</w:t>
            </w: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9353A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3 547 767,0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692" w:type="dxa"/>
            <w:vAlign w:val="center"/>
          </w:tcPr>
          <w:p w:rsidR="00D069A9" w:rsidRPr="00317679" w:rsidRDefault="00D069A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10</w:t>
            </w:r>
            <w:r w:rsidR="009353A8">
              <w:rPr>
                <w:rFonts w:ascii="Times New Roman" w:eastAsia="Times New Roman" w:hAnsi="Times New Roman" w:cs="Times New Roman"/>
              </w:rPr>
              <w:t> 629 997</w:t>
            </w:r>
            <w:r w:rsidRPr="0031767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069A9" w:rsidRPr="00CC17E4" w:rsidTr="00143CEB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745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17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76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692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2 954 193,00</w:t>
            </w:r>
          </w:p>
        </w:tc>
      </w:tr>
      <w:tr w:rsidR="00D069A9" w:rsidRPr="00CC17E4" w:rsidTr="00143CEB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</w:t>
            </w:r>
            <w:r w:rsidRPr="00BA25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BA25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D069A9" w:rsidRPr="00CC17E4" w:rsidTr="00143CEB">
        <w:trPr>
          <w:trHeight w:hRule="exact" w:val="30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29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BA2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D069A9" w:rsidRPr="00CC17E4" w:rsidTr="00143CEB">
        <w:trPr>
          <w:trHeight w:hRule="exact" w:val="505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D069A9" w:rsidRPr="00CC17E4" w:rsidTr="00143CEB">
        <w:trPr>
          <w:trHeight w:val="285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135 000,00</w:t>
            </w:r>
          </w:p>
        </w:tc>
      </w:tr>
      <w:tr w:rsidR="00D069A9" w:rsidRPr="00CC17E4" w:rsidTr="00143CEB">
        <w:trPr>
          <w:trHeight w:val="314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4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135 000,00</w:t>
            </w:r>
          </w:p>
        </w:tc>
      </w:tr>
      <w:tr w:rsidR="00D069A9" w:rsidRPr="00CC17E4" w:rsidTr="00143CEB">
        <w:trPr>
          <w:trHeight w:val="4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 w:val="restart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D069A9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2263A2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43 083 226,98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D069A9" w:rsidRPr="00287643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120 585 076,98</w:t>
            </w:r>
          </w:p>
        </w:tc>
      </w:tr>
      <w:tr w:rsidR="00482D31" w:rsidRPr="00CC17E4" w:rsidTr="00143CEB">
        <w:trPr>
          <w:trHeight w:val="196"/>
          <w:jc w:val="center"/>
        </w:trPr>
        <w:tc>
          <w:tcPr>
            <w:tcW w:w="660" w:type="dxa"/>
            <w:vMerge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482D31" w:rsidRPr="00BA25CA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82D31" w:rsidRPr="00482D31" w:rsidRDefault="00482D31"/>
        </w:tc>
        <w:tc>
          <w:tcPr>
            <w:tcW w:w="1476" w:type="dxa"/>
          </w:tcPr>
          <w:p w:rsidR="00482D31" w:rsidRPr="00482D31" w:rsidRDefault="00482D31"/>
        </w:tc>
        <w:tc>
          <w:tcPr>
            <w:tcW w:w="169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8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27 362 757,00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69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79 669 725,00</w:t>
            </w:r>
          </w:p>
        </w:tc>
      </w:tr>
      <w:tr w:rsidR="00D069A9" w:rsidRPr="00CC17E4" w:rsidTr="00143CEB">
        <w:trPr>
          <w:trHeight w:val="415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30 150,00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 xml:space="preserve">10 150,00 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69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069A9" w:rsidRPr="00DA089D">
              <w:rPr>
                <w:rFonts w:ascii="Times New Roman" w:eastAsia="Times New Roman" w:hAnsi="Times New Roman" w:cs="Times New Roman"/>
                <w:color w:val="000000"/>
              </w:rPr>
              <w:t>0 450,00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vAlign w:val="center"/>
          </w:tcPr>
          <w:p w:rsidR="00D069A9" w:rsidRPr="00A85B0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8 612 896,00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692" w:type="dxa"/>
            <w:vAlign w:val="center"/>
          </w:tcPr>
          <w:p w:rsidR="00D069A9" w:rsidRPr="00A85B0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25 108 288,00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D069A9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</w:t>
            </w:r>
            <w:r w:rsidR="002263A2">
              <w:rPr>
                <w:rFonts w:ascii="Times New Roman" w:eastAsia="Times New Roman" w:hAnsi="Times New Roman" w:cs="Times New Roman"/>
              </w:rPr>
              <w:t>1</w:t>
            </w:r>
            <w:r w:rsidRPr="00A85B0D">
              <w:rPr>
                <w:rFonts w:ascii="Times New Roman" w:eastAsia="Times New Roman" w:hAnsi="Times New Roman" w:cs="Times New Roman"/>
              </w:rPr>
              <w:t>9 595,00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692" w:type="dxa"/>
            <w:vAlign w:val="center"/>
          </w:tcPr>
          <w:p w:rsidR="00D069A9" w:rsidRPr="00A85B0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12 998 785,00</w:t>
            </w:r>
          </w:p>
        </w:tc>
      </w:tr>
      <w:tr w:rsidR="00E0638E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0638E" w:rsidRPr="00E0638E" w:rsidRDefault="002263A2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40 325 398,00</w:t>
            </w:r>
          </w:p>
        </w:tc>
        <w:tc>
          <w:tcPr>
            <w:tcW w:w="1417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76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E0638E" w:rsidRPr="00E0638E" w:rsidRDefault="002263A2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117 827 248,00</w:t>
            </w:r>
          </w:p>
        </w:tc>
      </w:tr>
      <w:tr w:rsidR="00D069A9" w:rsidRPr="00CC17E4" w:rsidTr="00143CEB">
        <w:trPr>
          <w:trHeight w:val="42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2 757 828,98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2 757 828,98</w:t>
            </w:r>
          </w:p>
        </w:tc>
      </w:tr>
      <w:tr w:rsidR="00E63060" w:rsidRPr="00CC17E4" w:rsidTr="00143CEB">
        <w:trPr>
          <w:trHeight w:val="429"/>
          <w:jc w:val="center"/>
        </w:trPr>
        <w:tc>
          <w:tcPr>
            <w:tcW w:w="660" w:type="dxa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E63060" w:rsidRPr="00805A2C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63060" w:rsidRPr="00E63060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2 757 828,98</w:t>
            </w:r>
          </w:p>
        </w:tc>
        <w:tc>
          <w:tcPr>
            <w:tcW w:w="1417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92" w:type="dxa"/>
            <w:vAlign w:val="center"/>
          </w:tcPr>
          <w:p w:rsidR="00E63060" w:rsidRPr="00E63060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2 757 828,98</w:t>
            </w:r>
          </w:p>
        </w:tc>
      </w:tr>
      <w:tr w:rsidR="00D069A9" w:rsidRPr="00CC17E4" w:rsidTr="00143CEB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CC17E4" w:rsidTr="00143CEB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D069A9" w:rsidTr="00D069A9">
        <w:tc>
          <w:tcPr>
            <w:tcW w:w="10173" w:type="dxa"/>
          </w:tcPr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D069A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A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D069A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A04489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1A17F7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A17F7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1A17F7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79 341 419,58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220 632 419,58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74 047 807,18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213 240 807,18</w:t>
            </w:r>
          </w:p>
        </w:tc>
      </w:tr>
      <w:tr w:rsidR="00D069A9" w:rsidRPr="001A17F7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5 293 612,40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7 391612,40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2 637 947,00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7 741 767,00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060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060" w:rsidRPr="005A6988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2 637 947,00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7 741 767,00</w:t>
            </w:r>
          </w:p>
        </w:tc>
      </w:tr>
      <w:tr w:rsidR="00D069A9" w:rsidRPr="001A17F7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E63060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16 298 444,00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48 837 974,00</w:t>
            </w:r>
          </w:p>
        </w:tc>
      </w:tr>
      <w:tr w:rsidR="00D069A9" w:rsidRPr="001A17F7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63060" w:rsidRPr="001A17F7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16 298 444,00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48 837 974,00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D31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D069A9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Хозяйственно-техническое обеспечение деятельности обслуживаемых учреждений и организаций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43 083 226,98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31" w:rsidRPr="005A6988" w:rsidRDefault="00610879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120 585 076,98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7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879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10879" w:rsidRPr="005A6988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10879" w:rsidRPr="005A6988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5A6988" w:rsidRDefault="0061087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879" w:rsidRPr="005A6988" w:rsidRDefault="00610879" w:rsidP="006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43 083 226,98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879" w:rsidRPr="005A6988" w:rsidRDefault="00610879" w:rsidP="006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879" w:rsidRPr="005A6988" w:rsidRDefault="00610879" w:rsidP="006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79" w:rsidRPr="005A6988" w:rsidRDefault="00610879" w:rsidP="006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120 585 076,98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7 655 730,00 рублей, в том числе районный бюджет- –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7 741 767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краевой бюджет – 0,00 руб.: 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г.–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2 637 947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руб., в т. ч. районный бюджет- – 2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 637 947,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00, краевой бюджет – 0,00 руб.;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г.- 2 551 910,00 руб., в т. ч. районный бюджет- – 2 551 910,00, краевой бюджет – 0,00 руб.;</w:t>
            </w:r>
          </w:p>
          <w:p w:rsidR="00D069A9" w:rsidRPr="00286504" w:rsidRDefault="00D069A9" w:rsidP="00D06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г.– 2 551 910,00 руб., в т. ч. районный бюджет- – 2 551 910,00, краевой бюджет – 0,00 руб.;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срасшифровкой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плановых значений по годам ее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</w:t>
            </w:r>
            <w:proofErr w:type="spellStart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gramStart"/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озникновения</w:t>
            </w:r>
            <w:proofErr w:type="spell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973D99" w:rsidRPr="00443A0D">
        <w:rPr>
          <w:rFonts w:ascii="Times New Roman" w:hAnsi="Times New Roman" w:cs="Times New Roman"/>
          <w:sz w:val="28"/>
          <w:szCs w:val="28"/>
        </w:rPr>
        <w:t>предупреждения</w:t>
      </w:r>
      <w:proofErr w:type="gramStart"/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D99" w:rsidRPr="00443A0D">
        <w:rPr>
          <w:rFonts w:ascii="Times New Roman" w:hAnsi="Times New Roman" w:cs="Times New Roman"/>
          <w:sz w:val="28"/>
          <w:szCs w:val="28"/>
        </w:rPr>
        <w:t>озникновения</w:t>
      </w:r>
      <w:proofErr w:type="spellEnd"/>
      <w:r w:rsidR="00973D99" w:rsidRPr="00443A0D">
        <w:rPr>
          <w:rFonts w:ascii="Times New Roman" w:hAnsi="Times New Roman" w:cs="Times New Roman"/>
          <w:sz w:val="28"/>
          <w:szCs w:val="28"/>
        </w:rPr>
        <w:t xml:space="preserve">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D34B8B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2 637 947</w:t>
            </w:r>
            <w:r w:rsidR="00D34B8B"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7 741 767,00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1 893 332,00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5 547 834,00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571 786,00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61087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1 675 446,00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438 687,00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35 913 000,00 рублей, за счет средств районного бюджета, в том числе: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–11 971 000,00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Идринского района перед транспортным комплексом стоит серьезная задача: повышение существующего 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805A2C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2019 году составило 64 ед., что на 18 ед., меньше уровня 2018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805A2C" w:rsidRDefault="00334E8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Основное предприятие транспорта на территории района 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-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spellStart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.,  </w:t>
      </w:r>
      <w:proofErr w:type="gramEnd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ряд лет остаются неизменными, в перспективе открытие новых маршрутов и увеличение их протяжённости не планируется.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185человека.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34E8C" w:rsidRPr="00972A8A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13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-6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6A602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21709B" w:rsidRPr="00801E85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21709B" w:rsidRPr="00801E85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</w:t>
      </w:r>
      <w:r w:rsidRPr="00801E85">
        <w:rPr>
          <w:rFonts w:ascii="Times New Roman" w:eastAsia="Times New Roman" w:hAnsi="Times New Roman" w:cs="Times New Roman"/>
          <w:sz w:val="28"/>
        </w:rPr>
        <w:lastRenderedPageBreak/>
        <w:t xml:space="preserve">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Pr="0080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52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5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1A5B6E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6FF" w:rsidRPr="004176F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B8B" w:rsidRPr="00972A8A" w:rsidTr="001A5B6E">
        <w:trPr>
          <w:trHeight w:hRule="exact" w:val="3127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848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составляет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B77AE0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B77AE0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2021 году –1 008 700,00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2022 году -1 049 000,00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2023 году –1 049 000,00 руб.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Pr="00CE32D9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</w:t>
      </w:r>
      <w:proofErr w:type="spell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48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человек.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2019 года составила 21513,00 тыс. руб., что ниже  уровня 2018 (21833,5,тыс</w:t>
      </w:r>
      <w:r w:rsidR="00A90FF7">
        <w:rPr>
          <w:rFonts w:ascii="Times New Roman" w:hAnsi="Times New Roman" w:cs="Times New Roman"/>
          <w:kern w:val="20"/>
          <w:sz w:val="28"/>
          <w:szCs w:val="28"/>
        </w:rPr>
        <w:t>.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руб</w:t>
      </w:r>
      <w:proofErr w:type="spellEnd"/>
      <w:r w:rsidRPr="00CE32D9">
        <w:rPr>
          <w:rFonts w:ascii="Times New Roman" w:hAnsi="Times New Roman" w:cs="Times New Roman"/>
          <w:kern w:val="20"/>
          <w:sz w:val="28"/>
          <w:szCs w:val="28"/>
        </w:rPr>
        <w:t>) года на 320,5 тыс. руб., снижение   составило 1,5 %.</w:t>
      </w:r>
    </w:p>
    <w:p w:rsidR="006B0F35" w:rsidRDefault="006B0F35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B0F35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2019 года составила 11296,40 тыс. руб.</w:t>
      </w:r>
    </w:p>
    <w:p w:rsidR="00BB7152" w:rsidRDefault="00BB7152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B7152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CE32D9" w:rsidRP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2019 год 9880,2 тыс. руб.</w:t>
      </w:r>
    </w:p>
    <w:p w:rsid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2019 года 9401,1 тыс. рублей.</w:t>
      </w:r>
    </w:p>
    <w:p w:rsidR="00F203BA" w:rsidRPr="004D101E" w:rsidRDefault="00F203BA" w:rsidP="00CE3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E4319C" w:rsidRPr="004D101E" w:rsidRDefault="00E4319C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9C">
        <w:rPr>
          <w:rFonts w:ascii="Times New Roman" w:eastAsia="Calibri" w:hAnsi="Times New Roman" w:cs="Times New Roman"/>
          <w:sz w:val="28"/>
          <w:szCs w:val="28"/>
        </w:rPr>
        <w:t>-  из 57 объектов коммунальной инфраструктуры 8 объектов остается не зарегистрированным в муниципальную собственность;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</w:t>
      </w:r>
      <w:r w:rsidR="004D101E" w:rsidRPr="004D101E">
        <w:rPr>
          <w:rFonts w:ascii="Times New Roman" w:eastAsia="Calibri" w:hAnsi="Times New Roman" w:cs="Times New Roman"/>
          <w:sz w:val="28"/>
          <w:szCs w:val="28"/>
        </w:rPr>
        <w:t>69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4D10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с. Идринское</w:t>
      </w:r>
      <w:r w:rsidR="00E511EA" w:rsidRPr="004D101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4D1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4D101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тепловой энергии за 2019 год составил 7,550 тыс. Гкал, что выше  уровня 2018 года на 0,116 тыс. Гкал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или на 1,5 %. 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На территории муниципального образования  функционирует 36 источник</w:t>
      </w:r>
      <w:r w:rsidR="00B718F6">
        <w:rPr>
          <w:rFonts w:ascii="Times New Roman" w:hAnsi="Times New Roman"/>
          <w:sz w:val="28"/>
          <w:szCs w:val="28"/>
        </w:rPr>
        <w:t>ов</w:t>
      </w:r>
      <w:r w:rsidRPr="00A47FCF">
        <w:rPr>
          <w:rFonts w:ascii="Times New Roman" w:hAnsi="Times New Roman"/>
          <w:sz w:val="28"/>
          <w:szCs w:val="28"/>
        </w:rPr>
        <w:t xml:space="preserve"> теплоснабжения, из них 31 муниципальной формы собственности, из них 7 теплоисточников, которые централизованно обеспечивают теплом население района, организации и предприятия. </w:t>
      </w:r>
    </w:p>
    <w:p w:rsid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2019 года равна 7,49 км., из них 3,29 км</w:t>
      </w:r>
      <w:proofErr w:type="gramStart"/>
      <w:r w:rsidRPr="00A47FCF">
        <w:rPr>
          <w:rFonts w:ascii="Times New Roman" w:hAnsi="Times New Roman"/>
          <w:sz w:val="28"/>
          <w:szCs w:val="28"/>
        </w:rPr>
        <w:t>.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FCF">
        <w:rPr>
          <w:rFonts w:ascii="Times New Roman" w:hAnsi="Times New Roman"/>
          <w:sz w:val="28"/>
          <w:szCs w:val="28"/>
        </w:rPr>
        <w:t>м</w:t>
      </w:r>
      <w:proofErr w:type="gramEnd"/>
      <w:r w:rsidRPr="00A47FCF">
        <w:rPr>
          <w:rFonts w:ascii="Times New Roman" w:hAnsi="Times New Roman"/>
          <w:sz w:val="28"/>
          <w:szCs w:val="28"/>
        </w:rPr>
        <w:t>униципальной собственности, 2,95 км тепловых сетей муниципальной формы собственности нуждается в замене.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Водоснабжение Идринского района осуществляется от 21 водопроводного сооружения. Протяжённость водопроводных сетей составляет 85,54 км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>нуждающихся в замене – 59,12 км.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FCF">
        <w:rPr>
          <w:rFonts w:ascii="Times New Roman" w:hAnsi="Times New Roman"/>
          <w:sz w:val="28"/>
          <w:szCs w:val="28"/>
        </w:rPr>
        <w:t xml:space="preserve">Объем отпуска холодной воды  </w:t>
      </w:r>
      <w:proofErr w:type="spellStart"/>
      <w:r w:rsidRPr="00A47FCF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организацией ЗАО «Заря» по итогам  2019 года  составил 69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 в</w:t>
      </w:r>
      <w:r w:rsidRPr="00A47FCF">
        <w:rPr>
          <w:rFonts w:ascii="Times New Roman" w:hAnsi="Times New Roman"/>
          <w:sz w:val="28"/>
          <w:szCs w:val="28"/>
        </w:rPr>
        <w:t xml:space="preserve"> том числе: населению – 59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</w:t>
      </w:r>
      <w:r w:rsidR="004D101E" w:rsidRPr="004D1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FCF">
        <w:rPr>
          <w:rFonts w:ascii="Times New Roman" w:hAnsi="Times New Roman"/>
          <w:sz w:val="28"/>
          <w:szCs w:val="28"/>
        </w:rPr>
        <w:t>бюджетофинансируемым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организациям – 9</w:t>
      </w:r>
      <w:r w:rsidR="004D101E">
        <w:rPr>
          <w:rFonts w:ascii="Times New Roman" w:hAnsi="Times New Roman"/>
          <w:sz w:val="28"/>
          <w:szCs w:val="28"/>
        </w:rPr>
        <w:t>,1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proofErr w:type="gramEnd"/>
    </w:p>
    <w:p w:rsidR="00F203BA" w:rsidRPr="00DC4F4E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</w:t>
      </w:r>
      <w:r w:rsidR="00426BD4" w:rsidRPr="00426BD4">
        <w:t xml:space="preserve"> </w:t>
      </w:r>
      <w:r w:rsidR="00426BD4">
        <w:rPr>
          <w:rFonts w:ascii="Times New Roman" w:hAnsi="Times New Roman"/>
          <w:sz w:val="28"/>
          <w:szCs w:val="28"/>
        </w:rPr>
        <w:t>н</w:t>
      </w:r>
      <w:r w:rsidR="00426BD4" w:rsidRPr="00426BD4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 </w:t>
      </w:r>
      <w:r w:rsidR="004D101E">
        <w:rPr>
          <w:rFonts w:ascii="Times New Roman" w:hAnsi="Times New Roman"/>
          <w:sz w:val="28"/>
          <w:szCs w:val="28"/>
        </w:rPr>
        <w:t>составил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282,14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</w:t>
      </w:r>
      <w:r w:rsidRPr="00A47FCF">
        <w:rPr>
          <w:rFonts w:ascii="Times New Roman" w:hAnsi="Times New Roman"/>
          <w:sz w:val="28"/>
          <w:szCs w:val="28"/>
        </w:rPr>
        <w:t>.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F203BA" w:rsidRPr="004D101E">
        <w:rPr>
          <w:rFonts w:ascii="Times New Roman" w:hAnsi="Times New Roman"/>
          <w:sz w:val="28"/>
          <w:szCs w:val="28"/>
        </w:rPr>
        <w:t>За 201</w:t>
      </w:r>
      <w:r w:rsidRPr="004D101E">
        <w:rPr>
          <w:rFonts w:ascii="Times New Roman" w:hAnsi="Times New Roman"/>
          <w:sz w:val="28"/>
          <w:szCs w:val="28"/>
        </w:rPr>
        <w:t>9</w:t>
      </w:r>
      <w:r w:rsidR="00F203BA" w:rsidRPr="004D101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98525C" w:rsidRPr="004D101E">
        <w:rPr>
          <w:rFonts w:ascii="Times New Roman" w:hAnsi="Times New Roman"/>
          <w:sz w:val="28"/>
          <w:szCs w:val="28"/>
        </w:rPr>
        <w:t>35</w:t>
      </w:r>
      <w:r w:rsidR="00F203BA" w:rsidRPr="004D101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4D101E">
        <w:rPr>
          <w:rFonts w:ascii="Times New Roman" w:hAnsi="Times New Roman"/>
          <w:sz w:val="28"/>
          <w:szCs w:val="28"/>
        </w:rPr>
        <w:t xml:space="preserve"> 2</w:t>
      </w:r>
      <w:r w:rsidR="0098525C" w:rsidRPr="004D101E">
        <w:rPr>
          <w:rFonts w:ascii="Times New Roman" w:hAnsi="Times New Roman"/>
          <w:sz w:val="28"/>
          <w:szCs w:val="28"/>
        </w:rPr>
        <w:t>4</w:t>
      </w:r>
      <w:r w:rsidR="00F203BA" w:rsidRPr="004D101E">
        <w:rPr>
          <w:rFonts w:ascii="Times New Roman" w:hAnsi="Times New Roman"/>
          <w:sz w:val="28"/>
          <w:szCs w:val="28"/>
        </w:rPr>
        <w:t>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4E4871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71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D6C70" w:rsidRPr="007D6C70">
        <w:rPr>
          <w:rFonts w:ascii="Times New Roman" w:hAnsi="Times New Roman"/>
          <w:sz w:val="28"/>
          <w:szCs w:val="28"/>
        </w:rPr>
        <w:t>остановление Правительства Кр</w:t>
      </w:r>
      <w:r w:rsidR="007D6C70">
        <w:rPr>
          <w:rFonts w:ascii="Times New Roman" w:hAnsi="Times New Roman"/>
          <w:sz w:val="28"/>
          <w:szCs w:val="28"/>
        </w:rPr>
        <w:t>асноярского края от 17.03.2015 №</w:t>
      </w:r>
      <w:r w:rsidR="007D6C70" w:rsidRPr="007D6C70">
        <w:rPr>
          <w:rFonts w:ascii="Times New Roman" w:hAnsi="Times New Roman"/>
          <w:sz w:val="28"/>
          <w:szCs w:val="28"/>
        </w:rPr>
        <w:t xml:space="preserve">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7D6C70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7D6C70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>
        <w:rPr>
          <w:rFonts w:ascii="Times New Roman" w:hAnsi="Times New Roman"/>
          <w:sz w:val="28"/>
          <w:szCs w:val="28"/>
        </w:rPr>
        <w:t>.</w:t>
      </w:r>
    </w:p>
    <w:p w:rsidR="00F203BA" w:rsidRPr="002C3284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3284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DD">
        <w:rPr>
          <w:rFonts w:ascii="Times New Roman" w:hAnsi="Times New Roman"/>
          <w:sz w:val="28"/>
          <w:szCs w:val="28"/>
        </w:rPr>
        <w:t>Законом Красноярского края от 01.12.2014 № 7-2835 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352F2D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34B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34B8B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91,2 % в 2030 году</w:t>
            </w:r>
          </w:p>
        </w:tc>
      </w:tr>
      <w:tr w:rsidR="00D34B8B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34B8B" w:rsidRPr="00C17D02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D34B8B" w:rsidRPr="00C17D02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17D02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C17D02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C17D02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D34B8B" w:rsidRPr="00C17D02" w:rsidTr="00071A6E">
        <w:trPr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C17D02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C17D02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C17D02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D34B8B" w:rsidRPr="00C17D02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района,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C17D02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D34B8B" w:rsidRPr="006A6025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6A6025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6A6025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 48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 837 974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 рублей, </w:t>
            </w:r>
          </w:p>
          <w:p w:rsidR="00D34B8B" w:rsidRPr="00C17D02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 районный бюджет- 48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 837 974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руб., краевой бюджет – 0,00 руб.  по годам: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- 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16 298 444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 районный   бюджет-  16 2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руб.,  краевой бюджет – 0,00 руб.;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16 269 765,00 руб. районный   бюджет-  16 269 765,00 руб.,  краевой бюджет – 0,00 руб.</w:t>
            </w:r>
          </w:p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- 16 269 765,00 руб. районный   бюджет-  16 269 765,00 руб.,  краевой бюджет – 0,00 руб.</w:t>
            </w:r>
          </w:p>
        </w:tc>
      </w:tr>
    </w:tbl>
    <w:p w:rsidR="00D34B8B" w:rsidRPr="006A6025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A76E94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A76E94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учреждения 34 человек.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A76E94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A76E94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76E94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формировании и реализации»; предоставляют в отдел </w:t>
      </w:r>
      <w:r w:rsidR="005A013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A6025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6A6025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A76E94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6E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A76E94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34B8B" w:rsidRPr="00A76E94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A76E94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</w:tc>
      </w:tr>
      <w:tr w:rsidR="00D34B8B" w:rsidRPr="00A76E94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6A6025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D34B8B" w:rsidRPr="00A76E94" w:rsidTr="00071A6E">
        <w:tc>
          <w:tcPr>
            <w:tcW w:w="8897" w:type="dxa"/>
          </w:tcPr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D34B8B" w:rsidRPr="00A76E94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6A6025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6A6025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D34B8B" w:rsidRPr="006A6025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203F5D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11 747 572</w:t>
            </w:r>
            <w:r w:rsidR="00D34B8B"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203F5D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35 198 662,00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55 122,00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610879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3 547 767</w:t>
            </w:r>
            <w:r w:rsidR="00D34B8B"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203F5D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10 629 997,00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2 954 193,00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21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61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298 444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61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837 974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6A6025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B8B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23 700,00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году- 7 900,00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году- 7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CF8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экстремизмуи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терроризмана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Идринский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gramStart"/>
      <w:r w:rsidRPr="001B4A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D34B8B" w:rsidRDefault="00583CDB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пропаганда законопослушного образа жизни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D34B8B" w:rsidRPr="00A9514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9D21EE" w:rsidRDefault="00D34B8B" w:rsidP="00D34B8B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</w:t>
            </w:r>
            <w:proofErr w:type="spellStart"/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  <w:proofErr w:type="spellEnd"/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D34B8B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37950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D227B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135 000,00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 45 000,00 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45 000,00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- 45 000,00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670081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670081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lastRenderedPageBreak/>
        <w:t>- р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t>азмещение материалов о проведении в образовательных учреждениях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среди несовершеннолетних на интернет ресурсах</w:t>
      </w:r>
      <w:r w:rsidRPr="00670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6C" w:rsidRPr="00670081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670081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670081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670081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670081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67008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</w:t>
      </w:r>
      <w:proofErr w:type="spellStart"/>
      <w:r w:rsidR="00DD227B" w:rsidRPr="00670081">
        <w:rPr>
          <w:rFonts w:ascii="Times New Roman" w:hAnsi="Times New Roman" w:cs="Times New Roman"/>
          <w:sz w:val="28"/>
          <w:szCs w:val="28"/>
        </w:rPr>
        <w:t>дорожного</w:t>
      </w:r>
      <w:r w:rsidR="00DD227B" w:rsidRPr="00670081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spellEnd"/>
    </w:p>
    <w:p w:rsidR="00536B32" w:rsidRPr="00670081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670081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081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6700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670081" w:rsidRDefault="002A79EB" w:rsidP="002A79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2) </w:t>
      </w:r>
      <w:r w:rsidR="00DD227B" w:rsidRPr="00670081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="00DD227B" w:rsidRPr="006700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670081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670081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 на 2019 - 2030 годы.</w:t>
      </w:r>
    </w:p>
    <w:p w:rsidR="00536B32" w:rsidRPr="00670081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с расшифровкой плановых значений по годам ее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реализацииприведен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подпрограмме.</w:t>
      </w:r>
    </w:p>
    <w:p w:rsidR="00831C6C" w:rsidRPr="00670081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 реализации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ости всех исполнителей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. Решение задач по формированию и эффек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тивному управлению реализацией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совершенствование системы профилактики детского дорожн</w:t>
      </w:r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о-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</w:t>
      </w:r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о-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 потребностям общества в безопасном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DA760A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одп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оправного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направления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подпрограмм</w:t>
      </w:r>
      <w:proofErr w:type="gram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ы-</w:t>
      </w:r>
      <w:proofErr w:type="gram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формирование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в образовательных учреждениях Идринского района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Подп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подпрограммы, динамики финансирования и выполнения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года, следующего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Pr="00670081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Pr="00670081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Основные ожидаемые конечные результаты: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67008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сокращение количества ДТП по причинам нарушения правил дорожного движения на территории Идринского района.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 w:rsidRPr="00670081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 w:rsidRPr="00670081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 w:rsidRPr="00670081"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67008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670081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670081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670081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70081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70081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37950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C67EA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поведения участников дорожного движения на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территорииИдринского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52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843"/>
      </w:tblGrid>
      <w:tr w:rsidR="00831C6C" w:rsidRPr="00A95140" w:rsidTr="00D34B8B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D34B8B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C6C" w:rsidRPr="00A95140" w:rsidTr="00D34B8B">
        <w:trPr>
          <w:cantSplit/>
          <w:trHeight w:val="298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нарушен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правил дорожного движения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ДТП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70081">
              <w:rPr>
                <w:rFonts w:eastAsia="Calibri"/>
                <w:sz w:val="24"/>
                <w:szCs w:val="24"/>
              </w:rPr>
              <w:t>Проведение профилактических акций и</w:t>
            </w:r>
          </w:p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D34B8B">
        <w:tc>
          <w:tcPr>
            <w:tcW w:w="9523" w:type="dxa"/>
          </w:tcPr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подпрограмме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26"/>
        <w:gridCol w:w="709"/>
        <w:gridCol w:w="567"/>
        <w:gridCol w:w="567"/>
        <w:gridCol w:w="709"/>
        <w:gridCol w:w="1417"/>
        <w:gridCol w:w="1843"/>
      </w:tblGrid>
      <w:tr w:rsidR="00D44C32" w:rsidRPr="00A95140" w:rsidTr="00092A27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092A27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092A27">
        <w:trPr>
          <w:trHeight w:hRule="exact" w:val="573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092A27">
        <w:trPr>
          <w:trHeight w:hRule="exact" w:val="120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092A27" w:rsidRPr="00A95140" w:rsidTr="00092A27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</w:t>
            </w:r>
            <w:proofErr w:type="gramStart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092A27" w:rsidRPr="00A95140" w:rsidTr="00092A27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2A79EB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092A27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2A79EB" w:rsidRDefault="00092A27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Pr="00637950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5B2585" w:rsidRDefault="005B2585" w:rsidP="005B2585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1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405BF" w:rsidRPr="0024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0 к муниципальной  программе Идринского района   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B2585" w:rsidRPr="002405BF" w:rsidRDefault="002405BF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Подпрограмма 7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Идринского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05BF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3F5D">
              <w:rPr>
                <w:rFonts w:ascii="Times New Roman" w:hAnsi="Times New Roman" w:cs="Times New Roman"/>
                <w:bCs/>
                <w:sz w:val="28"/>
                <w:szCs w:val="28"/>
              </w:rPr>
              <w:t>120 585 076,98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из них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3F5D">
              <w:rPr>
                <w:rFonts w:ascii="Times New Roman" w:hAnsi="Times New Roman" w:cs="Times New Roman"/>
                <w:bCs/>
                <w:sz w:val="28"/>
                <w:szCs w:val="28"/>
              </w:rPr>
              <w:t>43 083 226,98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203F5D">
              <w:rPr>
                <w:rFonts w:ascii="Times New Roman" w:hAnsi="Times New Roman" w:cs="Times New Roman"/>
                <w:bCs/>
                <w:sz w:val="28"/>
                <w:szCs w:val="28"/>
              </w:rPr>
              <w:t>120 585 076,98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3F5D">
              <w:rPr>
                <w:rFonts w:ascii="Times New Roman" w:hAnsi="Times New Roman" w:cs="Times New Roman"/>
                <w:bCs/>
                <w:sz w:val="28"/>
                <w:szCs w:val="28"/>
              </w:rPr>
              <w:t>43 083 226,98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AA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>истрации Идринского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Идринского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>казенного учреждения «Центр технического обеспечения учреждений культуры»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5B2585" w:rsidRPr="0086367D"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>и организаций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86367D">
        <w:rPr>
          <w:rFonts w:ascii="Times New Roman" w:hAnsi="Times New Roman" w:cs="Times New Roman"/>
          <w:sz w:val="28"/>
          <w:szCs w:val="28"/>
        </w:rPr>
        <w:t xml:space="preserve">020 численность работников МКУ ЦТО </w:t>
      </w:r>
      <w:r w:rsidRPr="0086367D">
        <w:rPr>
          <w:rFonts w:ascii="Times New Roman" w:hAnsi="Times New Roman" w:cs="Times New Roman"/>
          <w:sz w:val="28"/>
          <w:szCs w:val="28"/>
        </w:rPr>
        <w:t>составляет</w:t>
      </w:r>
      <w:r w:rsidR="001D3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470" w:rsidRPr="001D3470">
        <w:rPr>
          <w:rFonts w:ascii="Times New Roman" w:hAnsi="Times New Roman" w:cs="Times New Roman"/>
          <w:sz w:val="28"/>
          <w:szCs w:val="28"/>
        </w:rPr>
        <w:t>139  человек</w:t>
      </w:r>
      <w:r w:rsidRPr="001D3470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Идринского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Pr="00863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="001D3470">
        <w:rPr>
          <w:rFonts w:ascii="Times New Roman" w:hAnsi="Times New Roman" w:cs="Times New Roman"/>
          <w:sz w:val="28"/>
          <w:szCs w:val="28"/>
        </w:rPr>
        <w:t xml:space="preserve"> 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в отдел планирования и экономического развития  администрации Идринского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Идринского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-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>«Обеспечение жизнедеятельности территории Идринского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0E1593" w:rsidRPr="001D3470" w:rsidTr="000E1593">
        <w:tc>
          <w:tcPr>
            <w:tcW w:w="53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BD0" w:rsidRPr="001D3470" w:rsidTr="000E1593">
        <w:tc>
          <w:tcPr>
            <w:tcW w:w="53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исправного котельного оборудования и систем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отопления, п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>озволяющего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08390A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970E4B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970E4B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970E4B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970E4B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970E4B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970E4B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B">
              <w:rPr>
                <w:rFonts w:ascii="Times New Roman" w:hAnsi="Times New Roman" w:cs="Times New Roman"/>
              </w:rPr>
              <w:t> </w:t>
            </w:r>
          </w:p>
        </w:tc>
      </w:tr>
      <w:tr w:rsidR="00092A27" w:rsidRPr="00970E4B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>Обеспечение деятельности МКУ "Центр технического обеспечения учреждений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культуры</w:t>
            </w:r>
            <w:r w:rsidRPr="0008390A">
              <w:rPr>
                <w:rFonts w:ascii="Times New Roman" w:hAnsi="Times New Roman" w:cs="Times New Roman"/>
                <w:color w:val="000000"/>
              </w:rPr>
              <w:t xml:space="preserve"> " Идринского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203F5D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27 362 757,00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203F5D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79 669 725,00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2A27" w:rsidRPr="00970E4B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30 150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2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0 450,00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8 612 896,00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25 108 288,00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4 319 595,00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12 998 785,00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E0638E" w:rsidRPr="00970E4B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0638E" w:rsidRPr="00E0638E" w:rsidRDefault="00FC2B32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42 749 047,00</w:t>
            </w:r>
          </w:p>
        </w:tc>
        <w:tc>
          <w:tcPr>
            <w:tcW w:w="1633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0638E" w:rsidRPr="00E0638E" w:rsidRDefault="00FC2B32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120 250 897,00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E0638E" w:rsidRPr="00970E4B" w:rsidRDefault="00E0638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633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2807BE" w:rsidRPr="00970E4B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7B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807BE" w:rsidRPr="00E0638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633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7BE" w:rsidRPr="00E0638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7BE" w:rsidRPr="00970E4B" w:rsidRDefault="002807B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92A27" w:rsidRPr="002807BE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092A27" w:rsidRPr="002807BE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092A27" w:rsidRPr="002807B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43 083 226,98</w:t>
            </w:r>
          </w:p>
        </w:tc>
        <w:tc>
          <w:tcPr>
            <w:tcW w:w="1633" w:type="dxa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2807B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120 585 076,98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2807BE" w:rsidRDefault="00092A27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  <w:r w:rsidRPr="00A219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1D347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>- Р</w:t>
      </w:r>
      <w:r w:rsidR="003239D9" w:rsidRPr="001D3470">
        <w:rPr>
          <w:rFonts w:ascii="Times New Roman" w:hAnsi="Times New Roman" w:cs="Times New Roman"/>
          <w:sz w:val="28"/>
          <w:szCs w:val="28"/>
        </w:rPr>
        <w:t>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092A27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 w:rsidR="00092A27" w:rsidRPr="00672293">
        <w:rPr>
          <w:rFonts w:ascii="Times New Roman" w:eastAsia="Times New Roman" w:hAnsi="Times New Roman" w:cs="Times New Roman"/>
          <w:sz w:val="28"/>
          <w:szCs w:val="28"/>
        </w:rPr>
        <w:t>в 2020 году составил  439 012,56 рублей.</w:t>
      </w:r>
    </w:p>
    <w:p w:rsidR="003239D9" w:rsidRPr="00670081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2019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2019 года составляет 2443 единицы.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государственной власти района, расширение возможности доступа к ней в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валовомрегиональном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1D347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№12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r w:rsidR="00F9297B" w:rsidRPr="00912486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32" w:rsidRDefault="00FC2B32" w:rsidP="00810708">
      <w:pPr>
        <w:spacing w:after="0" w:line="240" w:lineRule="auto"/>
      </w:pPr>
      <w:r>
        <w:separator/>
      </w:r>
    </w:p>
  </w:endnote>
  <w:endnote w:type="continuationSeparator" w:id="0">
    <w:p w:rsidR="00FC2B32" w:rsidRDefault="00FC2B32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32" w:rsidRDefault="00FC2B32" w:rsidP="00810708">
      <w:pPr>
        <w:spacing w:after="0" w:line="240" w:lineRule="auto"/>
      </w:pPr>
      <w:r>
        <w:separator/>
      </w:r>
    </w:p>
  </w:footnote>
  <w:footnote w:type="continuationSeparator" w:id="0">
    <w:p w:rsidR="00FC2B32" w:rsidRDefault="00FC2B32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32" w:rsidRDefault="00D148D7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2B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2B32" w:rsidRDefault="00FC2B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1E4"/>
    <w:rsid w:val="00000F08"/>
    <w:rsid w:val="00013C49"/>
    <w:rsid w:val="0002473D"/>
    <w:rsid w:val="0002559F"/>
    <w:rsid w:val="00033547"/>
    <w:rsid w:val="000376FA"/>
    <w:rsid w:val="00050C11"/>
    <w:rsid w:val="00052F47"/>
    <w:rsid w:val="00060B0D"/>
    <w:rsid w:val="00064FA7"/>
    <w:rsid w:val="00071A6E"/>
    <w:rsid w:val="00077394"/>
    <w:rsid w:val="00077ABB"/>
    <w:rsid w:val="00092A27"/>
    <w:rsid w:val="000B12E4"/>
    <w:rsid w:val="000B2657"/>
    <w:rsid w:val="000B71E4"/>
    <w:rsid w:val="000C223E"/>
    <w:rsid w:val="000C5180"/>
    <w:rsid w:val="000C53B4"/>
    <w:rsid w:val="000D5BD9"/>
    <w:rsid w:val="000E1593"/>
    <w:rsid w:val="000F089E"/>
    <w:rsid w:val="000F4F45"/>
    <w:rsid w:val="0010029B"/>
    <w:rsid w:val="00105F38"/>
    <w:rsid w:val="00107608"/>
    <w:rsid w:val="0011690E"/>
    <w:rsid w:val="00121281"/>
    <w:rsid w:val="00124A71"/>
    <w:rsid w:val="00127976"/>
    <w:rsid w:val="00140139"/>
    <w:rsid w:val="001428D6"/>
    <w:rsid w:val="00143CEB"/>
    <w:rsid w:val="001514A0"/>
    <w:rsid w:val="00152192"/>
    <w:rsid w:val="001529AC"/>
    <w:rsid w:val="0015615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3B5E"/>
    <w:rsid w:val="001B4A45"/>
    <w:rsid w:val="001B7D02"/>
    <w:rsid w:val="001D3470"/>
    <w:rsid w:val="001D5B9D"/>
    <w:rsid w:val="001E112F"/>
    <w:rsid w:val="001E12D2"/>
    <w:rsid w:val="001E67D7"/>
    <w:rsid w:val="001E7863"/>
    <w:rsid w:val="001F7D28"/>
    <w:rsid w:val="00203F5D"/>
    <w:rsid w:val="0021709B"/>
    <w:rsid w:val="00223347"/>
    <w:rsid w:val="002263A2"/>
    <w:rsid w:val="00234D1A"/>
    <w:rsid w:val="002405BF"/>
    <w:rsid w:val="00257359"/>
    <w:rsid w:val="00276695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E35E5"/>
    <w:rsid w:val="002F2399"/>
    <w:rsid w:val="002F371C"/>
    <w:rsid w:val="002F4E26"/>
    <w:rsid w:val="0031352E"/>
    <w:rsid w:val="003239D9"/>
    <w:rsid w:val="00325471"/>
    <w:rsid w:val="00326DE1"/>
    <w:rsid w:val="00334E8C"/>
    <w:rsid w:val="00336A4F"/>
    <w:rsid w:val="0035062E"/>
    <w:rsid w:val="003509ED"/>
    <w:rsid w:val="00352F2D"/>
    <w:rsid w:val="00373BCB"/>
    <w:rsid w:val="003748BF"/>
    <w:rsid w:val="00374C38"/>
    <w:rsid w:val="00383DCD"/>
    <w:rsid w:val="0038577B"/>
    <w:rsid w:val="00387BA8"/>
    <w:rsid w:val="003917AB"/>
    <w:rsid w:val="00397B1A"/>
    <w:rsid w:val="003A6A2A"/>
    <w:rsid w:val="003A6E64"/>
    <w:rsid w:val="003B2D9F"/>
    <w:rsid w:val="003C05A8"/>
    <w:rsid w:val="003C274E"/>
    <w:rsid w:val="003E476C"/>
    <w:rsid w:val="003E4885"/>
    <w:rsid w:val="003F72E2"/>
    <w:rsid w:val="004058B2"/>
    <w:rsid w:val="00414CE1"/>
    <w:rsid w:val="004176FF"/>
    <w:rsid w:val="00420706"/>
    <w:rsid w:val="00426BD4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2D31"/>
    <w:rsid w:val="00487D5A"/>
    <w:rsid w:val="00495B3A"/>
    <w:rsid w:val="004B7F7B"/>
    <w:rsid w:val="004D101E"/>
    <w:rsid w:val="004D1778"/>
    <w:rsid w:val="004D1892"/>
    <w:rsid w:val="004E1E28"/>
    <w:rsid w:val="004E22DF"/>
    <w:rsid w:val="004E39DB"/>
    <w:rsid w:val="004E4871"/>
    <w:rsid w:val="004F1ECF"/>
    <w:rsid w:val="00517B36"/>
    <w:rsid w:val="00520A8D"/>
    <w:rsid w:val="005262C2"/>
    <w:rsid w:val="0052689A"/>
    <w:rsid w:val="00536B32"/>
    <w:rsid w:val="00540F58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A0137"/>
    <w:rsid w:val="005B2585"/>
    <w:rsid w:val="005C0B55"/>
    <w:rsid w:val="005C2267"/>
    <w:rsid w:val="005C259D"/>
    <w:rsid w:val="005D0DC7"/>
    <w:rsid w:val="005D26F5"/>
    <w:rsid w:val="005D48DE"/>
    <w:rsid w:val="005F00DC"/>
    <w:rsid w:val="005F16DC"/>
    <w:rsid w:val="0060235A"/>
    <w:rsid w:val="00604AF6"/>
    <w:rsid w:val="00607C89"/>
    <w:rsid w:val="00610879"/>
    <w:rsid w:val="00610F8A"/>
    <w:rsid w:val="006265B2"/>
    <w:rsid w:val="0063027F"/>
    <w:rsid w:val="00635EF0"/>
    <w:rsid w:val="006362FF"/>
    <w:rsid w:val="00637950"/>
    <w:rsid w:val="00640271"/>
    <w:rsid w:val="00643D07"/>
    <w:rsid w:val="00663EE7"/>
    <w:rsid w:val="00670081"/>
    <w:rsid w:val="00671F81"/>
    <w:rsid w:val="00674C5B"/>
    <w:rsid w:val="00675546"/>
    <w:rsid w:val="00680664"/>
    <w:rsid w:val="0068618E"/>
    <w:rsid w:val="00691C7E"/>
    <w:rsid w:val="006956DC"/>
    <w:rsid w:val="006A3402"/>
    <w:rsid w:val="006A4670"/>
    <w:rsid w:val="006A6025"/>
    <w:rsid w:val="006B0E67"/>
    <w:rsid w:val="006B0F35"/>
    <w:rsid w:val="006B3F89"/>
    <w:rsid w:val="006B603B"/>
    <w:rsid w:val="006C407D"/>
    <w:rsid w:val="006D253E"/>
    <w:rsid w:val="006D55B0"/>
    <w:rsid w:val="006D6557"/>
    <w:rsid w:val="006E03AC"/>
    <w:rsid w:val="006E7813"/>
    <w:rsid w:val="006F4CD4"/>
    <w:rsid w:val="006F68EA"/>
    <w:rsid w:val="007009C2"/>
    <w:rsid w:val="00707F9B"/>
    <w:rsid w:val="00722365"/>
    <w:rsid w:val="007224BB"/>
    <w:rsid w:val="00727738"/>
    <w:rsid w:val="00727A5E"/>
    <w:rsid w:val="00731BDF"/>
    <w:rsid w:val="007427E0"/>
    <w:rsid w:val="00744BF7"/>
    <w:rsid w:val="00776045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84E"/>
    <w:rsid w:val="007D594C"/>
    <w:rsid w:val="007D6C70"/>
    <w:rsid w:val="007E090B"/>
    <w:rsid w:val="007E1CE8"/>
    <w:rsid w:val="007F0322"/>
    <w:rsid w:val="007F44FC"/>
    <w:rsid w:val="00801E85"/>
    <w:rsid w:val="00802289"/>
    <w:rsid w:val="00805A2C"/>
    <w:rsid w:val="00810708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768A"/>
    <w:rsid w:val="008A07CF"/>
    <w:rsid w:val="008B1AE2"/>
    <w:rsid w:val="008D019D"/>
    <w:rsid w:val="008D51FF"/>
    <w:rsid w:val="008D6B12"/>
    <w:rsid w:val="008E0DB0"/>
    <w:rsid w:val="008E2DEA"/>
    <w:rsid w:val="008E61C7"/>
    <w:rsid w:val="008F04A7"/>
    <w:rsid w:val="008F348F"/>
    <w:rsid w:val="00912486"/>
    <w:rsid w:val="009148F0"/>
    <w:rsid w:val="0092129D"/>
    <w:rsid w:val="009223AE"/>
    <w:rsid w:val="0092273E"/>
    <w:rsid w:val="0093303D"/>
    <w:rsid w:val="009353A8"/>
    <w:rsid w:val="0093650D"/>
    <w:rsid w:val="009378D7"/>
    <w:rsid w:val="0094739F"/>
    <w:rsid w:val="00947CA8"/>
    <w:rsid w:val="009540D9"/>
    <w:rsid w:val="00955228"/>
    <w:rsid w:val="0097210C"/>
    <w:rsid w:val="00972A8A"/>
    <w:rsid w:val="00973D99"/>
    <w:rsid w:val="009763E9"/>
    <w:rsid w:val="0097719E"/>
    <w:rsid w:val="00984FE8"/>
    <w:rsid w:val="0098525C"/>
    <w:rsid w:val="00994193"/>
    <w:rsid w:val="00996645"/>
    <w:rsid w:val="009A15C2"/>
    <w:rsid w:val="009A16BE"/>
    <w:rsid w:val="009B0404"/>
    <w:rsid w:val="009C1ABE"/>
    <w:rsid w:val="009C66AD"/>
    <w:rsid w:val="009D21EE"/>
    <w:rsid w:val="009D2774"/>
    <w:rsid w:val="009D3E41"/>
    <w:rsid w:val="009E3A4B"/>
    <w:rsid w:val="009F1C44"/>
    <w:rsid w:val="009F34B0"/>
    <w:rsid w:val="00A00AAD"/>
    <w:rsid w:val="00A04489"/>
    <w:rsid w:val="00A05CED"/>
    <w:rsid w:val="00A27784"/>
    <w:rsid w:val="00A27FA9"/>
    <w:rsid w:val="00A40018"/>
    <w:rsid w:val="00A47FCF"/>
    <w:rsid w:val="00A6156C"/>
    <w:rsid w:val="00A74BD0"/>
    <w:rsid w:val="00A817CC"/>
    <w:rsid w:val="00A829E7"/>
    <w:rsid w:val="00A83E7A"/>
    <w:rsid w:val="00A90FF7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65EB"/>
    <w:rsid w:val="00AF64AE"/>
    <w:rsid w:val="00B13266"/>
    <w:rsid w:val="00B5114D"/>
    <w:rsid w:val="00B57F0C"/>
    <w:rsid w:val="00B67D2C"/>
    <w:rsid w:val="00B718F6"/>
    <w:rsid w:val="00B7399B"/>
    <w:rsid w:val="00B7655C"/>
    <w:rsid w:val="00B861AC"/>
    <w:rsid w:val="00B97AAB"/>
    <w:rsid w:val="00BA319A"/>
    <w:rsid w:val="00BB7152"/>
    <w:rsid w:val="00BC3C60"/>
    <w:rsid w:val="00BC4E54"/>
    <w:rsid w:val="00BC787A"/>
    <w:rsid w:val="00BD1E70"/>
    <w:rsid w:val="00BD574E"/>
    <w:rsid w:val="00BF507B"/>
    <w:rsid w:val="00BF6F50"/>
    <w:rsid w:val="00C01632"/>
    <w:rsid w:val="00C04969"/>
    <w:rsid w:val="00C11585"/>
    <w:rsid w:val="00C32B79"/>
    <w:rsid w:val="00C4190C"/>
    <w:rsid w:val="00C44661"/>
    <w:rsid w:val="00C452E3"/>
    <w:rsid w:val="00C67EAC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32D9"/>
    <w:rsid w:val="00CE6BA4"/>
    <w:rsid w:val="00CF30F2"/>
    <w:rsid w:val="00D069A9"/>
    <w:rsid w:val="00D148D7"/>
    <w:rsid w:val="00D2689E"/>
    <w:rsid w:val="00D323B2"/>
    <w:rsid w:val="00D32BB7"/>
    <w:rsid w:val="00D34B8B"/>
    <w:rsid w:val="00D35CF8"/>
    <w:rsid w:val="00D36594"/>
    <w:rsid w:val="00D40066"/>
    <w:rsid w:val="00D43B8A"/>
    <w:rsid w:val="00D44C32"/>
    <w:rsid w:val="00D4615D"/>
    <w:rsid w:val="00D46F3E"/>
    <w:rsid w:val="00D737DD"/>
    <w:rsid w:val="00D80944"/>
    <w:rsid w:val="00D8771C"/>
    <w:rsid w:val="00D927C2"/>
    <w:rsid w:val="00DA1D61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D6A97"/>
    <w:rsid w:val="00DE40F2"/>
    <w:rsid w:val="00DE57F9"/>
    <w:rsid w:val="00DE5E10"/>
    <w:rsid w:val="00DF5B9A"/>
    <w:rsid w:val="00E0030B"/>
    <w:rsid w:val="00E047D9"/>
    <w:rsid w:val="00E0638E"/>
    <w:rsid w:val="00E10267"/>
    <w:rsid w:val="00E2265D"/>
    <w:rsid w:val="00E22DFD"/>
    <w:rsid w:val="00E263A1"/>
    <w:rsid w:val="00E27808"/>
    <w:rsid w:val="00E41CA7"/>
    <w:rsid w:val="00E4319C"/>
    <w:rsid w:val="00E44B05"/>
    <w:rsid w:val="00E511EA"/>
    <w:rsid w:val="00E51B15"/>
    <w:rsid w:val="00E530AF"/>
    <w:rsid w:val="00E532A8"/>
    <w:rsid w:val="00E5799B"/>
    <w:rsid w:val="00E61CC3"/>
    <w:rsid w:val="00E63060"/>
    <w:rsid w:val="00E77BB6"/>
    <w:rsid w:val="00E85350"/>
    <w:rsid w:val="00EA2184"/>
    <w:rsid w:val="00EA289E"/>
    <w:rsid w:val="00EA68FD"/>
    <w:rsid w:val="00EB0785"/>
    <w:rsid w:val="00EB1A58"/>
    <w:rsid w:val="00ED3D23"/>
    <w:rsid w:val="00EF7C5E"/>
    <w:rsid w:val="00F105CC"/>
    <w:rsid w:val="00F1701F"/>
    <w:rsid w:val="00F174D8"/>
    <w:rsid w:val="00F203BA"/>
    <w:rsid w:val="00F22CE6"/>
    <w:rsid w:val="00F267BD"/>
    <w:rsid w:val="00F4124B"/>
    <w:rsid w:val="00F41773"/>
    <w:rsid w:val="00F50385"/>
    <w:rsid w:val="00F53ED7"/>
    <w:rsid w:val="00F566D0"/>
    <w:rsid w:val="00F60499"/>
    <w:rsid w:val="00F70AA1"/>
    <w:rsid w:val="00F760A5"/>
    <w:rsid w:val="00F84867"/>
    <w:rsid w:val="00F9297B"/>
    <w:rsid w:val="00F938DB"/>
    <w:rsid w:val="00F953AF"/>
    <w:rsid w:val="00FA5D3F"/>
    <w:rsid w:val="00FC09EB"/>
    <w:rsid w:val="00FC2519"/>
    <w:rsid w:val="00FC2805"/>
    <w:rsid w:val="00FC2B32"/>
    <w:rsid w:val="00FC4FD4"/>
    <w:rsid w:val="00FC579F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403A-B029-46C1-A1E4-B6C56F3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99</Pages>
  <Words>22531</Words>
  <Characters>128430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2021-05-21T04:36:00Z</cp:lastPrinted>
  <dcterms:created xsi:type="dcterms:W3CDTF">2020-11-06T08:33:00Z</dcterms:created>
  <dcterms:modified xsi:type="dcterms:W3CDTF">2021-05-21T08:32:00Z</dcterms:modified>
</cp:coreProperties>
</file>