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D4" w:rsidRPr="00723928" w:rsidRDefault="007E50D4" w:rsidP="007E50D4">
      <w:pPr>
        <w:tabs>
          <w:tab w:val="left" w:pos="700"/>
        </w:tabs>
        <w:spacing w:before="120"/>
        <w:contextualSpacing/>
        <w:jc w:val="center"/>
        <w:rPr>
          <w:caps/>
          <w:sz w:val="28"/>
          <w:szCs w:val="28"/>
        </w:rPr>
      </w:pPr>
      <w:bookmarkStart w:id="0" w:name="Par1"/>
      <w:bookmarkEnd w:id="0"/>
      <w:r w:rsidRPr="00723928">
        <w:rPr>
          <w:caps/>
          <w:sz w:val="28"/>
          <w:szCs w:val="28"/>
        </w:rPr>
        <w:t>красноярский край</w:t>
      </w:r>
    </w:p>
    <w:p w:rsidR="007E50D4" w:rsidRPr="00723928" w:rsidRDefault="007E50D4" w:rsidP="007E50D4">
      <w:pPr>
        <w:tabs>
          <w:tab w:val="left" w:pos="700"/>
        </w:tabs>
        <w:spacing w:before="120"/>
        <w:contextualSpacing/>
        <w:jc w:val="center"/>
        <w:rPr>
          <w:caps/>
          <w:sz w:val="28"/>
          <w:szCs w:val="28"/>
        </w:rPr>
      </w:pPr>
      <w:r w:rsidRPr="00723928">
        <w:rPr>
          <w:caps/>
          <w:sz w:val="28"/>
          <w:szCs w:val="28"/>
        </w:rPr>
        <w:t>идринский район</w:t>
      </w:r>
    </w:p>
    <w:p w:rsidR="007E50D4" w:rsidRPr="00723928" w:rsidRDefault="007E50D4" w:rsidP="007E50D4">
      <w:pPr>
        <w:tabs>
          <w:tab w:val="left" w:pos="700"/>
        </w:tabs>
        <w:spacing w:before="120"/>
        <w:contextualSpacing/>
        <w:jc w:val="center"/>
        <w:rPr>
          <w:caps/>
          <w:sz w:val="28"/>
          <w:szCs w:val="28"/>
        </w:rPr>
      </w:pPr>
      <w:r w:rsidRPr="00723928">
        <w:rPr>
          <w:caps/>
          <w:sz w:val="28"/>
          <w:szCs w:val="28"/>
        </w:rPr>
        <w:t>Финансовое управление</w:t>
      </w:r>
    </w:p>
    <w:p w:rsidR="007E50D4" w:rsidRPr="00723928" w:rsidRDefault="007E50D4" w:rsidP="007E50D4">
      <w:pPr>
        <w:tabs>
          <w:tab w:val="left" w:pos="700"/>
        </w:tabs>
        <w:spacing w:before="120"/>
        <w:contextualSpacing/>
        <w:jc w:val="center"/>
        <w:rPr>
          <w:caps/>
          <w:sz w:val="28"/>
          <w:szCs w:val="28"/>
        </w:rPr>
      </w:pPr>
      <w:r w:rsidRPr="00723928">
        <w:rPr>
          <w:caps/>
          <w:sz w:val="28"/>
          <w:szCs w:val="28"/>
        </w:rPr>
        <w:t xml:space="preserve"> администрации Идринского района</w:t>
      </w:r>
    </w:p>
    <w:p w:rsidR="007E50D4" w:rsidRPr="00723928" w:rsidRDefault="007E50D4" w:rsidP="007E50D4">
      <w:pPr>
        <w:contextualSpacing/>
        <w:jc w:val="center"/>
        <w:rPr>
          <w:sz w:val="28"/>
          <w:szCs w:val="28"/>
        </w:rPr>
      </w:pPr>
    </w:p>
    <w:p w:rsidR="007E50D4" w:rsidRPr="00723928" w:rsidRDefault="007E50D4" w:rsidP="007E50D4">
      <w:pPr>
        <w:contextualSpacing/>
        <w:jc w:val="center"/>
        <w:rPr>
          <w:sz w:val="28"/>
          <w:szCs w:val="28"/>
        </w:rPr>
      </w:pPr>
    </w:p>
    <w:p w:rsidR="007E50D4" w:rsidRPr="00723928" w:rsidRDefault="007E50D4" w:rsidP="007E50D4">
      <w:pPr>
        <w:contextualSpacing/>
        <w:jc w:val="center"/>
        <w:rPr>
          <w:b/>
          <w:spacing w:val="100"/>
          <w:sz w:val="28"/>
          <w:szCs w:val="28"/>
        </w:rPr>
      </w:pPr>
      <w:r w:rsidRPr="00723928">
        <w:rPr>
          <w:b/>
          <w:spacing w:val="100"/>
          <w:sz w:val="28"/>
          <w:szCs w:val="28"/>
        </w:rPr>
        <w:t>ПРИКАЗ</w:t>
      </w:r>
    </w:p>
    <w:p w:rsidR="007E50D4" w:rsidRPr="00723928" w:rsidRDefault="007E50D4" w:rsidP="007E50D4">
      <w:pPr>
        <w:contextualSpacing/>
        <w:jc w:val="center"/>
        <w:rPr>
          <w:sz w:val="28"/>
          <w:szCs w:val="28"/>
        </w:rPr>
      </w:pPr>
    </w:p>
    <w:p w:rsidR="007E50D4" w:rsidRPr="00723928" w:rsidRDefault="007E50D4" w:rsidP="007E50D4">
      <w:pPr>
        <w:contextualSpacing/>
        <w:jc w:val="center"/>
        <w:rPr>
          <w:sz w:val="28"/>
          <w:szCs w:val="28"/>
        </w:rPr>
      </w:pPr>
    </w:p>
    <w:p w:rsidR="0078464F" w:rsidRDefault="00EB6638" w:rsidP="0078464F">
      <w:pPr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  <w:r>
        <w:rPr>
          <w:sz w:val="28"/>
          <w:szCs w:val="28"/>
        </w:rPr>
        <w:t>26</w:t>
      </w:r>
      <w:r w:rsidR="007E50D4" w:rsidRPr="0078464F">
        <w:rPr>
          <w:sz w:val="28"/>
          <w:szCs w:val="28"/>
        </w:rPr>
        <w:t xml:space="preserve">.08.2021 г.                                 с . Идринское                                             № </w:t>
      </w:r>
      <w:r w:rsidR="0078464F">
        <w:rPr>
          <w:sz w:val="28"/>
          <w:szCs w:val="28"/>
        </w:rPr>
        <w:t>18</w:t>
      </w:r>
    </w:p>
    <w:p w:rsidR="007E50D4" w:rsidRPr="00723928" w:rsidRDefault="007E50D4" w:rsidP="0078464F">
      <w:pPr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  <w:r w:rsidRPr="00723928">
        <w:rPr>
          <w:sz w:val="28"/>
          <w:szCs w:val="28"/>
        </w:rPr>
        <w:t xml:space="preserve"> </w:t>
      </w:r>
    </w:p>
    <w:p w:rsidR="00DD3A15" w:rsidRPr="00723928" w:rsidRDefault="007E50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Об утверждении Порядка санкционирования оплаты денежных обязательств получателей средств </w:t>
      </w:r>
      <w:r w:rsidR="00973AEC" w:rsidRPr="00723928">
        <w:rPr>
          <w:rFonts w:ascii="Times New Roman" w:hAnsi="Times New Roman" w:cs="Times New Roman"/>
          <w:sz w:val="28"/>
          <w:szCs w:val="28"/>
        </w:rPr>
        <w:t>местного бюджета и оплаты денежных обязательств, подлежащих исполнению за счет бюджетных ассигнований по источникам финансирования дефицита местного бюджета</w:t>
      </w:r>
    </w:p>
    <w:p w:rsidR="00DD3A15" w:rsidRPr="00723928" w:rsidRDefault="00DD3A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D3A15" w:rsidRPr="00723928" w:rsidRDefault="00DD3A15">
      <w:pPr>
        <w:pStyle w:val="ConsPlusNormal"/>
        <w:jc w:val="both"/>
      </w:pPr>
    </w:p>
    <w:p w:rsidR="00DD3A15" w:rsidRPr="00723928" w:rsidRDefault="00DD3A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723928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723928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723928">
          <w:rPr>
            <w:rFonts w:ascii="Times New Roman" w:hAnsi="Times New Roman" w:cs="Times New Roman"/>
            <w:sz w:val="28"/>
            <w:szCs w:val="28"/>
          </w:rPr>
          <w:t>абзацем третьим пункта 5 статьи 219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723928">
          <w:rPr>
            <w:rFonts w:ascii="Times New Roman" w:hAnsi="Times New Roman" w:cs="Times New Roman"/>
            <w:sz w:val="28"/>
            <w:szCs w:val="28"/>
          </w:rPr>
          <w:t>частью второй статьи 219.2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приказываю: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1.Утвердить прилагаемый </w:t>
      </w:r>
      <w:hyperlink w:anchor="P35" w:history="1">
        <w:r w:rsidRPr="0072392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санкционирования оплаты денежных обязательств получателей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и оплаты денежных обязательств, подлежащих исполнению за счет бюджетных ассигнований по источникам финансирования дефицита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2.Признать утратившими силу:</w:t>
      </w:r>
    </w:p>
    <w:p w:rsidR="00DD3A15" w:rsidRPr="00723928" w:rsidRDefault="006A74A7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DD3A15" w:rsidRPr="0072392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DD3A15" w:rsidRPr="00723928">
        <w:rPr>
          <w:rFonts w:ascii="Times New Roman" w:hAnsi="Times New Roman" w:cs="Times New Roman"/>
          <w:sz w:val="28"/>
          <w:szCs w:val="28"/>
        </w:rPr>
        <w:t xml:space="preserve"> </w:t>
      </w:r>
      <w:r w:rsidR="00660788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Идринского района от 28.11.2018 № </w:t>
      </w:r>
      <w:r w:rsidR="00B5249C">
        <w:rPr>
          <w:rFonts w:ascii="Times New Roman" w:hAnsi="Times New Roman" w:cs="Times New Roman"/>
          <w:sz w:val="28"/>
          <w:szCs w:val="28"/>
        </w:rPr>
        <w:t>30</w:t>
      </w:r>
      <w:r w:rsidR="00660788">
        <w:rPr>
          <w:rFonts w:ascii="Times New Roman" w:hAnsi="Times New Roman" w:cs="Times New Roman"/>
          <w:sz w:val="28"/>
          <w:szCs w:val="28"/>
        </w:rPr>
        <w:t xml:space="preserve"> </w:t>
      </w:r>
      <w:r w:rsidR="00B5249C">
        <w:rPr>
          <w:rFonts w:ascii="Times New Roman" w:hAnsi="Times New Roman" w:cs="Times New Roman"/>
          <w:sz w:val="28"/>
          <w:szCs w:val="28"/>
        </w:rPr>
        <w:t>«</w:t>
      </w:r>
      <w:r w:rsidR="00DD3A15" w:rsidRPr="00723928">
        <w:rPr>
          <w:rFonts w:ascii="Times New Roman" w:hAnsi="Times New Roman" w:cs="Times New Roman"/>
          <w:sz w:val="28"/>
          <w:szCs w:val="28"/>
        </w:rPr>
        <w:t xml:space="preserve">О Порядке санкционирования оплаты денежных обязательств получателей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="00DD3A15" w:rsidRPr="00723928">
        <w:rPr>
          <w:rFonts w:ascii="Times New Roman" w:hAnsi="Times New Roman" w:cs="Times New Roman"/>
          <w:sz w:val="28"/>
          <w:szCs w:val="28"/>
        </w:rPr>
        <w:t xml:space="preserve"> бюджета и администраторов источников финансирования дефицита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="00DD3A15" w:rsidRPr="00723928">
        <w:rPr>
          <w:rFonts w:ascii="Times New Roman" w:hAnsi="Times New Roman" w:cs="Times New Roman"/>
          <w:sz w:val="28"/>
          <w:szCs w:val="28"/>
        </w:rPr>
        <w:t xml:space="preserve"> бюджета".</w:t>
      </w:r>
    </w:p>
    <w:p w:rsidR="00B5249C" w:rsidRPr="00633565" w:rsidRDefault="00DD3A15" w:rsidP="00F7160E">
      <w:pPr>
        <w:pStyle w:val="1"/>
        <w:shd w:val="clear" w:color="auto" w:fill="FFFFFF"/>
        <w:tabs>
          <w:tab w:val="left" w:pos="1397"/>
        </w:tabs>
        <w:ind w:left="0" w:firstLine="568"/>
        <w:jc w:val="both"/>
        <w:rPr>
          <w:color w:val="000000" w:themeColor="text1"/>
          <w:spacing w:val="-2"/>
          <w:sz w:val="28"/>
          <w:szCs w:val="28"/>
        </w:rPr>
      </w:pPr>
      <w:r w:rsidRPr="00723928">
        <w:rPr>
          <w:sz w:val="28"/>
          <w:szCs w:val="28"/>
        </w:rPr>
        <w:t>3.</w:t>
      </w:r>
      <w:r w:rsidR="00B5249C"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 w:rsidR="00B5249C">
        <w:rPr>
          <w:color w:val="000000"/>
          <w:spacing w:val="-2"/>
          <w:sz w:val="28"/>
          <w:szCs w:val="28"/>
        </w:rPr>
        <w:t>на</w:t>
      </w:r>
      <w:r w:rsidR="00B5249C"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 w:rsidR="00B5249C"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="00B5249C" w:rsidRPr="00B9260B">
        <w:rPr>
          <w:color w:val="000000"/>
          <w:spacing w:val="-2"/>
          <w:sz w:val="28"/>
          <w:szCs w:val="28"/>
        </w:rPr>
        <w:t xml:space="preserve">Идринский </w:t>
      </w:r>
      <w:r w:rsidR="00B5249C" w:rsidRPr="00773323">
        <w:rPr>
          <w:spacing w:val="-2"/>
          <w:sz w:val="28"/>
          <w:szCs w:val="28"/>
        </w:rPr>
        <w:t>район (</w:t>
      </w:r>
      <w:hyperlink r:id="rId12" w:history="1">
        <w:r w:rsidR="00B5249C" w:rsidRPr="004B115A">
          <w:rPr>
            <w:rStyle w:val="a3"/>
            <w:color w:val="000000" w:themeColor="text1"/>
            <w:spacing w:val="-2"/>
            <w:sz w:val="28"/>
            <w:szCs w:val="28"/>
            <w:lang w:val="en-US"/>
          </w:rPr>
          <w:t>www</w:t>
        </w:r>
        <w:r w:rsidR="00B5249C" w:rsidRPr="004B115A">
          <w:rPr>
            <w:rStyle w:val="a3"/>
            <w:color w:val="000000" w:themeColor="text1"/>
            <w:spacing w:val="-2"/>
            <w:sz w:val="28"/>
            <w:szCs w:val="28"/>
          </w:rPr>
          <w:t>.</w:t>
        </w:r>
        <w:r w:rsidR="00B5249C" w:rsidRPr="004B115A">
          <w:rPr>
            <w:rStyle w:val="a3"/>
            <w:color w:val="000000" w:themeColor="text1"/>
            <w:spacing w:val="-2"/>
            <w:sz w:val="28"/>
            <w:szCs w:val="28"/>
            <w:lang w:val="en-US"/>
          </w:rPr>
          <w:t>idra</w:t>
        </w:r>
        <w:r w:rsidR="00B5249C" w:rsidRPr="004B115A">
          <w:rPr>
            <w:rStyle w:val="a3"/>
            <w:color w:val="000000" w:themeColor="text1"/>
            <w:spacing w:val="-2"/>
            <w:sz w:val="28"/>
            <w:szCs w:val="28"/>
          </w:rPr>
          <w:t>-</w:t>
        </w:r>
        <w:r w:rsidR="00B5249C" w:rsidRPr="004B115A">
          <w:rPr>
            <w:rStyle w:val="a3"/>
            <w:color w:val="000000" w:themeColor="text1"/>
            <w:spacing w:val="-2"/>
            <w:sz w:val="28"/>
            <w:szCs w:val="28"/>
            <w:lang w:val="en-US"/>
          </w:rPr>
          <w:t>rayon</w:t>
        </w:r>
        <w:r w:rsidR="00B5249C" w:rsidRPr="004B115A">
          <w:rPr>
            <w:rStyle w:val="a3"/>
            <w:color w:val="000000" w:themeColor="text1"/>
            <w:spacing w:val="-2"/>
            <w:sz w:val="28"/>
            <w:szCs w:val="28"/>
          </w:rPr>
          <w:t>.</w:t>
        </w:r>
        <w:r w:rsidR="00B5249C" w:rsidRPr="004B115A">
          <w:rPr>
            <w:rStyle w:val="a3"/>
            <w:color w:val="000000" w:themeColor="text1"/>
            <w:spacing w:val="-2"/>
            <w:sz w:val="28"/>
            <w:szCs w:val="28"/>
            <w:lang w:val="en-US"/>
          </w:rPr>
          <w:t>ru</w:t>
        </w:r>
      </w:hyperlink>
      <w:r w:rsidR="00B5249C" w:rsidRPr="004B115A">
        <w:rPr>
          <w:color w:val="000000" w:themeColor="text1"/>
          <w:spacing w:val="-2"/>
          <w:sz w:val="28"/>
          <w:szCs w:val="28"/>
        </w:rPr>
        <w:t>)</w:t>
      </w:r>
    </w:p>
    <w:p w:rsidR="00B5249C" w:rsidRPr="00BB508A" w:rsidRDefault="00B5249C" w:rsidP="00F7160E">
      <w:pPr>
        <w:pStyle w:val="1"/>
        <w:ind w:left="0" w:firstLine="567"/>
        <w:jc w:val="both"/>
        <w:rPr>
          <w:sz w:val="28"/>
          <w:szCs w:val="28"/>
        </w:rPr>
      </w:pPr>
      <w:r w:rsidRPr="00E52C96">
        <w:rPr>
          <w:color w:val="000000"/>
          <w:spacing w:val="-2"/>
          <w:sz w:val="28"/>
          <w:szCs w:val="28"/>
        </w:rPr>
        <w:t xml:space="preserve">4.Приказ </w:t>
      </w:r>
      <w:r w:rsidRPr="00E52C96">
        <w:rPr>
          <w:bCs/>
          <w:color w:val="000000"/>
          <w:spacing w:val="-2"/>
          <w:sz w:val="28"/>
          <w:szCs w:val="28"/>
        </w:rPr>
        <w:t>вступает в силу с</w:t>
      </w:r>
      <w:r w:rsidR="00E52C96">
        <w:rPr>
          <w:bCs/>
          <w:color w:val="000000"/>
          <w:spacing w:val="-2"/>
          <w:sz w:val="28"/>
          <w:szCs w:val="28"/>
        </w:rPr>
        <w:t xml:space="preserve"> 1 января 2022 года.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3A15" w:rsidRDefault="00DD3A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2C96" w:rsidRPr="00723928" w:rsidRDefault="00E52C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2CA9" w:rsidRPr="00A95A8D" w:rsidRDefault="00682CA9" w:rsidP="00682CA9">
      <w:pPr>
        <w:rPr>
          <w:sz w:val="28"/>
          <w:szCs w:val="28"/>
        </w:rPr>
      </w:pPr>
      <w:r w:rsidRPr="00A95A8D">
        <w:rPr>
          <w:sz w:val="28"/>
          <w:szCs w:val="28"/>
        </w:rPr>
        <w:t>Первый заместитель главы района,</w:t>
      </w:r>
    </w:p>
    <w:p w:rsidR="00682CA9" w:rsidRPr="00A95A8D" w:rsidRDefault="00682CA9" w:rsidP="00682CA9">
      <w:pPr>
        <w:rPr>
          <w:sz w:val="28"/>
          <w:szCs w:val="28"/>
        </w:rPr>
      </w:pPr>
      <w:r w:rsidRPr="00A95A8D">
        <w:rPr>
          <w:sz w:val="28"/>
          <w:szCs w:val="28"/>
        </w:rPr>
        <w:t>руководитель финансового управления                                     Н.П. Антипова</w:t>
      </w:r>
    </w:p>
    <w:p w:rsidR="00682CA9" w:rsidRDefault="00682CA9" w:rsidP="00682CA9">
      <w:pPr>
        <w:spacing w:line="300" w:lineRule="atLeast"/>
        <w:ind w:firstLine="540"/>
        <w:jc w:val="center"/>
        <w:rPr>
          <w:sz w:val="28"/>
          <w:szCs w:val="28"/>
        </w:rPr>
      </w:pPr>
    </w:p>
    <w:p w:rsidR="00DD3A15" w:rsidRPr="00723928" w:rsidRDefault="00DD3A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3A15" w:rsidRPr="00723928" w:rsidRDefault="00DD3A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3A15" w:rsidRPr="00723928" w:rsidRDefault="00DD3A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3A15" w:rsidRPr="00723928" w:rsidRDefault="00DD3A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160E" w:rsidRDefault="00F7160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160E" w:rsidRDefault="00F7160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160E" w:rsidRDefault="00F7160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D3A15" w:rsidRPr="00723928" w:rsidRDefault="00DD3A1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682CA9" w:rsidRDefault="00DD3A1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приказом </w:t>
      </w:r>
    </w:p>
    <w:p w:rsidR="00682CA9" w:rsidRDefault="00682C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DD3A15" w:rsidRPr="00723928" w:rsidRDefault="00682C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</w:p>
    <w:p w:rsidR="00DD3A15" w:rsidRPr="00723928" w:rsidRDefault="00DD3A1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от </w:t>
      </w:r>
      <w:r w:rsidR="00EB6638">
        <w:rPr>
          <w:rFonts w:ascii="Times New Roman" w:hAnsi="Times New Roman" w:cs="Times New Roman"/>
          <w:sz w:val="28"/>
          <w:szCs w:val="28"/>
        </w:rPr>
        <w:t>26</w:t>
      </w:r>
      <w:r w:rsidRPr="00723928">
        <w:rPr>
          <w:rFonts w:ascii="Times New Roman" w:hAnsi="Times New Roman" w:cs="Times New Roman"/>
          <w:sz w:val="28"/>
          <w:szCs w:val="28"/>
        </w:rPr>
        <w:t>.</w:t>
      </w:r>
      <w:r w:rsidR="00682CA9">
        <w:rPr>
          <w:rFonts w:ascii="Times New Roman" w:hAnsi="Times New Roman" w:cs="Times New Roman"/>
          <w:sz w:val="28"/>
          <w:szCs w:val="28"/>
        </w:rPr>
        <w:t>08</w:t>
      </w:r>
      <w:r w:rsidRPr="00723928">
        <w:rPr>
          <w:rFonts w:ascii="Times New Roman" w:hAnsi="Times New Roman" w:cs="Times New Roman"/>
          <w:sz w:val="28"/>
          <w:szCs w:val="28"/>
        </w:rPr>
        <w:t>.202</w:t>
      </w:r>
      <w:r w:rsidR="00682CA9">
        <w:rPr>
          <w:rFonts w:ascii="Times New Roman" w:hAnsi="Times New Roman" w:cs="Times New Roman"/>
          <w:sz w:val="28"/>
          <w:szCs w:val="28"/>
        </w:rPr>
        <w:t>1 №</w:t>
      </w:r>
      <w:r w:rsidR="00685740">
        <w:rPr>
          <w:rFonts w:ascii="Times New Roman" w:hAnsi="Times New Roman" w:cs="Times New Roman"/>
          <w:sz w:val="28"/>
          <w:szCs w:val="28"/>
        </w:rPr>
        <w:t xml:space="preserve"> 18</w:t>
      </w:r>
    </w:p>
    <w:p w:rsidR="00DD3A15" w:rsidRPr="00723928" w:rsidRDefault="00DD3A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2CA9" w:rsidRDefault="00682C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682CA9" w:rsidRDefault="00682C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санкционирования оплаты денежных обязательств получателей средств местного бюджета и оплаты денежных обязательств, подлежащих исполнению за счет бюджетных ассигнований по источникам финансирования дефицита местного бюджета</w:t>
      </w:r>
    </w:p>
    <w:p w:rsidR="00DD3A15" w:rsidRPr="00723928" w:rsidRDefault="00DD3A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порядок санкционирования </w:t>
      </w:r>
      <w:r w:rsidR="00080951">
        <w:rPr>
          <w:rFonts w:ascii="Times New Roman" w:hAnsi="Times New Roman" w:cs="Times New Roman"/>
          <w:sz w:val="28"/>
          <w:szCs w:val="28"/>
        </w:rPr>
        <w:t>Управлением Федерального казначейства по Красноярскому краю</w:t>
      </w:r>
      <w:r w:rsidRPr="0072392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80951">
        <w:rPr>
          <w:rFonts w:ascii="Times New Roman" w:hAnsi="Times New Roman" w:cs="Times New Roman"/>
          <w:sz w:val="28"/>
          <w:szCs w:val="28"/>
        </w:rPr>
        <w:t>–</w:t>
      </w:r>
      <w:r w:rsidRPr="00723928">
        <w:rPr>
          <w:rFonts w:ascii="Times New Roman" w:hAnsi="Times New Roman" w:cs="Times New Roman"/>
          <w:sz w:val="28"/>
          <w:szCs w:val="28"/>
        </w:rPr>
        <w:t xml:space="preserve"> </w:t>
      </w:r>
      <w:r w:rsidR="00080951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Pr="00723928">
        <w:rPr>
          <w:rFonts w:ascii="Times New Roman" w:hAnsi="Times New Roman" w:cs="Times New Roman"/>
          <w:sz w:val="28"/>
          <w:szCs w:val="28"/>
        </w:rPr>
        <w:t xml:space="preserve">) оплаты за счет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денежных обязательств получателей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и оплаты денежных обязательств, подлежащих исполнению за счет бюджетных ассигнований по источникам финансирования дефицита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2. Для оплаты денежных обязательств получатель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(администратор источников финансирования дефицита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бюджета) представляет в </w:t>
      </w:r>
      <w:r w:rsidR="00080951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="00080951" w:rsidRPr="00723928">
        <w:rPr>
          <w:rFonts w:ascii="Times New Roman" w:hAnsi="Times New Roman" w:cs="Times New Roman"/>
          <w:sz w:val="28"/>
          <w:szCs w:val="28"/>
        </w:rP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по месту обслуживания лицевого счета получателя бюджетных средств (администратора источников финансирования дефицита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бюджета), лицевого счета для учета операций по переданным полномочиям получателя бюджетных средств (далее - соответствующий лицевой счет) распоряжение о совершении казначейского платежа в соответствии с порядком казначейского обслуживания, установленным Федеральным казначейством </w:t>
      </w:r>
      <w:r w:rsidR="00031E25">
        <w:rPr>
          <w:rStyle w:val="ad"/>
          <w:rFonts w:ascii="Times New Roman" w:hAnsi="Times New Roman" w:cs="Times New Roman"/>
          <w:sz w:val="28"/>
          <w:szCs w:val="28"/>
        </w:rPr>
        <w:footnoteReference w:id="2"/>
      </w:r>
      <w:r w:rsidRPr="00723928">
        <w:rPr>
          <w:rFonts w:ascii="Times New Roman" w:hAnsi="Times New Roman" w:cs="Times New Roman"/>
          <w:sz w:val="28"/>
          <w:szCs w:val="28"/>
        </w:rPr>
        <w:t>&lt;1&gt; (далее - Распоряжение, порядок казначейского обслуживания).</w:t>
      </w:r>
    </w:p>
    <w:p w:rsidR="00DD3A15" w:rsidRPr="00723928" w:rsidRDefault="00DD3A15" w:rsidP="00F716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7"/>
      <w:bookmarkEnd w:id="2"/>
      <w:r w:rsidRPr="00723928">
        <w:rPr>
          <w:rFonts w:ascii="Times New Roman" w:hAnsi="Times New Roman" w:cs="Times New Roman"/>
          <w:sz w:val="28"/>
          <w:szCs w:val="28"/>
        </w:rPr>
        <w:t xml:space="preserve">3. </w:t>
      </w:r>
      <w:r w:rsidR="00080951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="00080951" w:rsidRPr="00723928">
        <w:rPr>
          <w:rFonts w:ascii="Times New Roman" w:hAnsi="Times New Roman" w:cs="Times New Roman"/>
          <w:sz w:val="28"/>
          <w:szCs w:val="28"/>
        </w:rP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проверяет Распоряжение на наличие в нем реквизитов и показателей, предусмотренных </w:t>
      </w:r>
      <w:hyperlink w:anchor="P50" w:history="1">
        <w:r w:rsidRPr="00723928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настоящего Порядка (с учетом положений </w:t>
      </w:r>
      <w:hyperlink w:anchor="P82" w:history="1">
        <w:r w:rsidRPr="00723928">
          <w:rPr>
            <w:rFonts w:ascii="Times New Roman" w:hAnsi="Times New Roman" w:cs="Times New Roman"/>
            <w:sz w:val="28"/>
            <w:szCs w:val="28"/>
          </w:rPr>
          <w:t>пункта 5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настоящего Порядка), на соответствие требованиям, установленным </w:t>
      </w:r>
      <w:hyperlink w:anchor="P87" w:history="1">
        <w:r w:rsidRPr="00723928">
          <w:rPr>
            <w:rFonts w:ascii="Times New Roman" w:hAnsi="Times New Roman" w:cs="Times New Roman"/>
            <w:sz w:val="28"/>
            <w:szCs w:val="28"/>
          </w:rPr>
          <w:t>пунктами 6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5" w:history="1">
        <w:r w:rsidRPr="00723928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9" w:history="1">
        <w:r w:rsidRPr="00723928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23" w:history="1">
        <w:r w:rsidRPr="00723928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наличие документов, предусмотренных </w:t>
      </w:r>
      <w:hyperlink w:anchor="P115" w:history="1">
        <w:r w:rsidRPr="00723928">
          <w:rPr>
            <w:rFonts w:ascii="Times New Roman" w:hAnsi="Times New Roman" w:cs="Times New Roman"/>
            <w:sz w:val="28"/>
            <w:szCs w:val="28"/>
          </w:rPr>
          <w:t>пунктами 7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18" w:history="1">
        <w:r w:rsidRPr="00723928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031E25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не позднее рабочего дня, следующего за днем представления получателем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(администратором источников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 финансирования дефицита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бюджета) Распоряжения в </w:t>
      </w:r>
      <w:r w:rsidR="00867C49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Pr="00723928">
        <w:rPr>
          <w:rFonts w:ascii="Times New Roman" w:hAnsi="Times New Roman" w:cs="Times New Roman"/>
          <w:sz w:val="28"/>
          <w:szCs w:val="28"/>
        </w:rPr>
        <w:t>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lastRenderedPageBreak/>
        <w:t xml:space="preserve">не позднее четвертого рабочего дня, следующего за днем представления получателем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Распоряжения в орган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казначейства, в случаях, установленных </w:t>
      </w:r>
      <w:hyperlink w:anchor="P114" w:history="1">
        <w:r w:rsidRPr="00723928">
          <w:rPr>
            <w:rFonts w:ascii="Times New Roman" w:hAnsi="Times New Roman" w:cs="Times New Roman"/>
            <w:sz w:val="28"/>
            <w:szCs w:val="28"/>
          </w:rPr>
          <w:t>абзацем вторым подпункта 16 пункта 6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0"/>
      <w:bookmarkEnd w:id="3"/>
      <w:r w:rsidRPr="00723928">
        <w:rPr>
          <w:rFonts w:ascii="Times New Roman" w:hAnsi="Times New Roman" w:cs="Times New Roman"/>
          <w:sz w:val="28"/>
          <w:szCs w:val="28"/>
        </w:rPr>
        <w:t>4. Распоряжение проверяется на наличие в нем следующих реквизитов и показателей: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1) подписей, соответствующих имеющимся образцам, представленным получателем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(администратором источников финансирования дефицита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бюджета) для открытия соответствующего лицевого счета в порядке, установленным Федеральным казначейством</w:t>
      </w:r>
      <w:r w:rsidR="00031E25">
        <w:rPr>
          <w:rStyle w:val="ad"/>
          <w:rFonts w:ascii="Times New Roman" w:hAnsi="Times New Roman" w:cs="Times New Roman"/>
          <w:sz w:val="28"/>
          <w:szCs w:val="28"/>
        </w:rPr>
        <w:footnoteReference w:id="3"/>
      </w:r>
      <w:r w:rsidRPr="00723928">
        <w:rPr>
          <w:rFonts w:ascii="Times New Roman" w:hAnsi="Times New Roman" w:cs="Times New Roman"/>
          <w:sz w:val="28"/>
          <w:szCs w:val="28"/>
        </w:rPr>
        <w:t xml:space="preserve"> &lt;2&gt;;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2) уникального кода получателя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по реестру участников бюджетного процесса, а также юридических лиц, не являющихся участниками бюджетного процесса, порядок формирования и ведения которого устанавливается Министерством финансов Российской Федерации </w:t>
      </w:r>
      <w:r w:rsidR="00031E25">
        <w:rPr>
          <w:rStyle w:val="ad"/>
          <w:rFonts w:ascii="Times New Roman" w:hAnsi="Times New Roman" w:cs="Times New Roman"/>
          <w:sz w:val="28"/>
          <w:szCs w:val="28"/>
        </w:rPr>
        <w:footnoteReference w:id="4"/>
      </w:r>
      <w:r w:rsidRPr="00723928">
        <w:rPr>
          <w:rFonts w:ascii="Times New Roman" w:hAnsi="Times New Roman" w:cs="Times New Roman"/>
          <w:sz w:val="28"/>
          <w:szCs w:val="28"/>
        </w:rPr>
        <w:t>&lt;3&gt; (далее - код участника бюджетного процесса по Сводному реестру), и номера соответствующего лицевого счета;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3) кодов классификации расходов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(классификации источников финансирования дефицитов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бюджета), по которым необходимо произвести перечисление, уникального кода объекта капитального строительства или объекта недвижимости, отраженного на лицевом счете получателя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бюджета, кода мероприятия ведомственной программы цифровой трансформации мероприятий </w:t>
      </w:r>
      <w:r w:rsidR="00B721B8">
        <w:rPr>
          <w:rFonts w:ascii="Times New Roman" w:hAnsi="Times New Roman" w:cs="Times New Roman"/>
          <w:sz w:val="28"/>
          <w:szCs w:val="28"/>
        </w:rPr>
        <w:t>муниципальных</w:t>
      </w:r>
      <w:r w:rsidRPr="00723928">
        <w:rPr>
          <w:rFonts w:ascii="Times New Roman" w:hAnsi="Times New Roman" w:cs="Times New Roman"/>
          <w:sz w:val="28"/>
          <w:szCs w:val="28"/>
        </w:rPr>
        <w:t xml:space="preserve"> органов, направленных на создание, развитие, эксплуатацию или использование информационно-коммуникационных технологий, а также на вывод из эксплуатации информационных систем и компонентов информационно-телекоммуникационной инфраструктуры (далее - мероприятие по информатизации), доведенных до </w:t>
      </w:r>
      <w:r w:rsidR="00867C49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Pr="00723928">
        <w:rPr>
          <w:rFonts w:ascii="Times New Roman" w:hAnsi="Times New Roman" w:cs="Times New Roman"/>
          <w:sz w:val="28"/>
          <w:szCs w:val="28"/>
        </w:rPr>
        <w:t xml:space="preserve"> в соответствии с порядком составления и ведения сводной бюджетной росписи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031E25">
        <w:rPr>
          <w:rStyle w:val="ad"/>
          <w:rFonts w:ascii="Times New Roman" w:hAnsi="Times New Roman" w:cs="Times New Roman"/>
          <w:sz w:val="28"/>
          <w:szCs w:val="28"/>
        </w:rPr>
        <w:footnoteReference w:id="5"/>
      </w:r>
      <w:r w:rsidRPr="00723928">
        <w:rPr>
          <w:rFonts w:ascii="Times New Roman" w:hAnsi="Times New Roman" w:cs="Times New Roman"/>
          <w:sz w:val="28"/>
          <w:szCs w:val="28"/>
        </w:rPr>
        <w:t xml:space="preserve">&lt;4&gt; (далее - Порядок составления и ведения сводной бюджетной росписи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бюджета), в случае оплаты денежных обязательств, связанных с осуществлением капитальных вложений в объекты </w:t>
      </w:r>
      <w:r w:rsidRPr="00723928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или объекты недвижимого имущества, или с реализацией мероприятий по информатизации, а также текстового назначения платежа;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4) суммы перечисления и кода валюты в соответствии с Общероссийским </w:t>
      </w:r>
      <w:hyperlink r:id="rId13" w:history="1">
        <w:r w:rsidRPr="00723928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валют, в которой он должен быть произведен;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5) суммы перечисления в валюте Российской Федерации, в рублевом эквиваленте, исчисленном на дату оформления Распоряжения;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6) вида средств (средства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бюджета, средства для финансирования оперативно-розыскных мероприятий);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7) наименования, банковских реквизитов, идентификационного номера налогоплательщика (ИНН) и кода причины постановки на учет (КПП) (при наличии) получателя денежных средств в Распоряжении;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8) номера учтенного в </w:t>
      </w:r>
      <w:r w:rsidR="00867C49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бюджетного обязательства и номера денежного обязательства получателя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(при наличии);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9) номера и серии чека;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10) срока действия чека;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11) фамилии, имени и отчества получателя средств по чеку;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12) данных документов, удостоверяющих личность получателя средств по чеку;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13) данных для осуществления налоговых и иных обязательных платежей в бюджеты бюджетной системы Российской Федерации,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 </w:t>
      </w:r>
      <w:r w:rsidR="00031E25">
        <w:rPr>
          <w:rStyle w:val="ad"/>
          <w:rFonts w:ascii="Times New Roman" w:hAnsi="Times New Roman" w:cs="Times New Roman"/>
          <w:sz w:val="28"/>
          <w:szCs w:val="28"/>
        </w:rPr>
        <w:footnoteReference w:id="6"/>
      </w:r>
      <w:r w:rsidRPr="00723928">
        <w:rPr>
          <w:rFonts w:ascii="Times New Roman" w:hAnsi="Times New Roman" w:cs="Times New Roman"/>
          <w:sz w:val="28"/>
          <w:szCs w:val="28"/>
        </w:rPr>
        <w:t>&lt;5&gt;;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6"/>
      <w:bookmarkEnd w:id="4"/>
      <w:r w:rsidRPr="00723928">
        <w:rPr>
          <w:rFonts w:ascii="Times New Roman" w:hAnsi="Times New Roman" w:cs="Times New Roman"/>
          <w:sz w:val="28"/>
          <w:szCs w:val="28"/>
        </w:rPr>
        <w:t>14) реквизитов (номер, дата) документов (договора, государственного</w:t>
      </w:r>
      <w:r w:rsidR="009E04F7">
        <w:rPr>
          <w:rFonts w:ascii="Times New Roman" w:hAnsi="Times New Roman" w:cs="Times New Roman"/>
          <w:sz w:val="28"/>
          <w:szCs w:val="28"/>
        </w:rPr>
        <w:t xml:space="preserve">, </w:t>
      </w:r>
      <w:r w:rsidR="009E04F7" w:rsidRPr="00080951">
        <w:rPr>
          <w:rFonts w:ascii="Times New Roman" w:hAnsi="Times New Roman" w:cs="Times New Roman"/>
          <w:sz w:val="28"/>
          <w:szCs w:val="28"/>
        </w:rPr>
        <w:t>муниципального</w:t>
      </w:r>
      <w:r w:rsidRPr="00080951">
        <w:rPr>
          <w:rFonts w:ascii="Times New Roman" w:hAnsi="Times New Roman" w:cs="Times New Roman"/>
          <w:sz w:val="28"/>
          <w:szCs w:val="28"/>
        </w:rPr>
        <w:t xml:space="preserve"> контракта, соглашения) (при наличии), на основании которых возникают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бюджетные обязательства получателей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бюджета, и документов, подтверждающих возникновение денежных обязательств получателей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бюджета, предоставляемых получателями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при постановке на учет бюджетных и денежных обязательств в соответствии с порядком учета </w:t>
      </w:r>
      <w:r w:rsidR="00867C49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бюджетных и денежных обязательств получателей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бюджета, установленным </w:t>
      </w:r>
      <w:r w:rsidR="006A67F4">
        <w:rPr>
          <w:rFonts w:ascii="Times New Roman" w:hAnsi="Times New Roman" w:cs="Times New Roman"/>
          <w:sz w:val="28"/>
          <w:szCs w:val="28"/>
        </w:rPr>
        <w:t>финансовым управлением администрации Идринского района</w:t>
      </w:r>
      <w:r w:rsidRPr="00723928">
        <w:rPr>
          <w:rFonts w:ascii="Times New Roman" w:hAnsi="Times New Roman" w:cs="Times New Roman"/>
          <w:sz w:val="28"/>
          <w:szCs w:val="28"/>
        </w:rPr>
        <w:t xml:space="preserve"> </w:t>
      </w:r>
      <w:r w:rsidR="00031E25">
        <w:rPr>
          <w:rStyle w:val="ad"/>
          <w:rFonts w:ascii="Times New Roman" w:hAnsi="Times New Roman" w:cs="Times New Roman"/>
          <w:sz w:val="28"/>
          <w:szCs w:val="28"/>
        </w:rPr>
        <w:footnoteReference w:id="7"/>
      </w:r>
      <w:r w:rsidRPr="00723928">
        <w:rPr>
          <w:rFonts w:ascii="Times New Roman" w:hAnsi="Times New Roman" w:cs="Times New Roman"/>
          <w:sz w:val="28"/>
          <w:szCs w:val="28"/>
        </w:rPr>
        <w:t xml:space="preserve">&lt;6&gt; (далее - порядок учета </w:t>
      </w:r>
      <w:r w:rsidRPr="00723928">
        <w:rPr>
          <w:rFonts w:ascii="Times New Roman" w:hAnsi="Times New Roman" w:cs="Times New Roman"/>
          <w:sz w:val="28"/>
          <w:szCs w:val="28"/>
        </w:rPr>
        <w:lastRenderedPageBreak/>
        <w:t>обязательств);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15)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 (далее - документы, подтверждающие возникновение денежных обязательств), за исключением реквизитов документов, подтверждающих возникновение денежных обязательств в случае осуществления авансовых платежей в соответствии с условиями договора (государственного</w:t>
      </w:r>
      <w:r w:rsidR="00C1718E">
        <w:rPr>
          <w:rFonts w:ascii="Times New Roman" w:hAnsi="Times New Roman" w:cs="Times New Roman"/>
          <w:sz w:val="28"/>
          <w:szCs w:val="28"/>
        </w:rPr>
        <w:t>, муниципального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контракта), внесения арендной платы по договору (государственному</w:t>
      </w:r>
      <w:r w:rsidR="00C1718E">
        <w:rPr>
          <w:rFonts w:ascii="Times New Roman" w:hAnsi="Times New Roman" w:cs="Times New Roman"/>
          <w:sz w:val="28"/>
          <w:szCs w:val="28"/>
        </w:rPr>
        <w:t>, муниципальному</w:t>
      </w:r>
      <w:r w:rsidRPr="00723928">
        <w:rPr>
          <w:rFonts w:ascii="Times New Roman" w:hAnsi="Times New Roman" w:cs="Times New Roman"/>
          <w:sz w:val="28"/>
          <w:szCs w:val="28"/>
        </w:rPr>
        <w:t xml:space="preserve"> контракту), если условиями таких договоров (государственных</w:t>
      </w:r>
      <w:r w:rsidR="00C1718E">
        <w:rPr>
          <w:rFonts w:ascii="Times New Roman" w:hAnsi="Times New Roman" w:cs="Times New Roman"/>
          <w:sz w:val="28"/>
          <w:szCs w:val="28"/>
        </w:rPr>
        <w:t xml:space="preserve">, муниципальных </w:t>
      </w:r>
      <w:r w:rsidRPr="00723928">
        <w:rPr>
          <w:rFonts w:ascii="Times New Roman" w:hAnsi="Times New Roman" w:cs="Times New Roman"/>
          <w:sz w:val="28"/>
          <w:szCs w:val="28"/>
        </w:rPr>
        <w:t>контрактов) не предусмотрено предоставление документов для оплаты денежных обязательств при осуществлении авансовых платежей (внесении арендной платы);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1"/>
      <w:bookmarkEnd w:id="5"/>
      <w:r w:rsidRPr="00723928">
        <w:rPr>
          <w:rFonts w:ascii="Times New Roman" w:hAnsi="Times New Roman" w:cs="Times New Roman"/>
          <w:sz w:val="28"/>
          <w:szCs w:val="28"/>
        </w:rPr>
        <w:t>16) кода источника поступлений целевых средств в случае санкционирования расходов, источником финансового обеспечения которых являются целевые средства при казначейском сопровождении.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2"/>
      <w:bookmarkEnd w:id="6"/>
      <w:r w:rsidRPr="00723928">
        <w:rPr>
          <w:rFonts w:ascii="Times New Roman" w:hAnsi="Times New Roman" w:cs="Times New Roman"/>
          <w:sz w:val="28"/>
          <w:szCs w:val="28"/>
        </w:rPr>
        <w:t xml:space="preserve">5. Требования </w:t>
      </w:r>
      <w:hyperlink w:anchor="P76" w:history="1">
        <w:r w:rsidRPr="00723928">
          <w:rPr>
            <w:rFonts w:ascii="Times New Roman" w:hAnsi="Times New Roman" w:cs="Times New Roman"/>
            <w:sz w:val="28"/>
            <w:szCs w:val="28"/>
          </w:rPr>
          <w:t>подпунктов 14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1" w:history="1">
        <w:r w:rsidRPr="00723928">
          <w:rPr>
            <w:rFonts w:ascii="Times New Roman" w:hAnsi="Times New Roman" w:cs="Times New Roman"/>
            <w:sz w:val="28"/>
            <w:szCs w:val="28"/>
          </w:rPr>
          <w:t>16 пункта 4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настоящего Порядка не применяются в отношении: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Распоряжения при перечислении средств получателям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бюджета, осуществляющим в соответствии с бюджетным законодательством Российской Федерации операции со средствами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(в том числе в иностранной валюте) на счетах, открытых им в учреждении Центрального банка Российской Федерации или кредитной организации, получателям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бюджета, находящимся за пределами Российской Федерации и получающим средства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от главного распорядителя (распорядителя)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в иностранной валюте;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Распоряжения при перечислении средств структурным (обособленным) подразделениям получателей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бюджета, не наделенным полномочиями по ведению бюджетного учета.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Требования </w:t>
      </w:r>
      <w:hyperlink w:anchor="P76" w:history="1">
        <w:r w:rsidRPr="00723928">
          <w:rPr>
            <w:rFonts w:ascii="Times New Roman" w:hAnsi="Times New Roman" w:cs="Times New Roman"/>
            <w:sz w:val="28"/>
            <w:szCs w:val="28"/>
          </w:rPr>
          <w:t>подпункта 14 пункта 4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настоящего Порядка также не применяются в отношении Распоряжения при оплате товаров, выполнении работ, оказании услуг в случаях, когда заключение договора (государственного</w:t>
      </w:r>
      <w:r w:rsidR="00C1718E">
        <w:rPr>
          <w:rFonts w:ascii="Times New Roman" w:hAnsi="Times New Roman" w:cs="Times New Roman"/>
          <w:sz w:val="28"/>
          <w:szCs w:val="28"/>
        </w:rPr>
        <w:t>, муниципального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контракта) на поставку товаров, выполнение работ, оказание услуг для </w:t>
      </w:r>
      <w:r w:rsidR="00C1718E">
        <w:rPr>
          <w:rFonts w:ascii="Times New Roman" w:hAnsi="Times New Roman" w:cs="Times New Roman"/>
          <w:sz w:val="28"/>
          <w:szCs w:val="28"/>
        </w:rPr>
        <w:t>муниципальных</w:t>
      </w:r>
      <w:r w:rsidRPr="00723928">
        <w:rPr>
          <w:rFonts w:ascii="Times New Roman" w:hAnsi="Times New Roman" w:cs="Times New Roman"/>
          <w:sz w:val="28"/>
          <w:szCs w:val="28"/>
        </w:rPr>
        <w:t xml:space="preserve"> нужд (далее - договор (государственный</w:t>
      </w:r>
      <w:r w:rsidR="00C1718E">
        <w:rPr>
          <w:rFonts w:ascii="Times New Roman" w:hAnsi="Times New Roman" w:cs="Times New Roman"/>
          <w:sz w:val="28"/>
          <w:szCs w:val="28"/>
        </w:rPr>
        <w:t>, муниципальный</w:t>
      </w:r>
      <w:r w:rsidRPr="00723928">
        <w:rPr>
          <w:rFonts w:ascii="Times New Roman" w:hAnsi="Times New Roman" w:cs="Times New Roman"/>
          <w:sz w:val="28"/>
          <w:szCs w:val="28"/>
        </w:rPr>
        <w:t xml:space="preserve"> контракт) законодательством Российской Федерации не предусмотрено.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В одном Распоряжении может содержаться несколько сумм перечислений по разным кодам классификации расходов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723928">
        <w:rPr>
          <w:rFonts w:ascii="Times New Roman" w:hAnsi="Times New Roman" w:cs="Times New Roman"/>
          <w:sz w:val="28"/>
          <w:szCs w:val="28"/>
        </w:rPr>
        <w:lastRenderedPageBreak/>
        <w:t xml:space="preserve">(классификации источников финансирования дефицитов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бюджета) в рамках одного денежного обязательства получателя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(администратора источников финансирования дефицита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бюджета).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7"/>
      <w:bookmarkEnd w:id="7"/>
      <w:r w:rsidRPr="00723928">
        <w:rPr>
          <w:rFonts w:ascii="Times New Roman" w:hAnsi="Times New Roman" w:cs="Times New Roman"/>
          <w:sz w:val="28"/>
          <w:szCs w:val="28"/>
        </w:rPr>
        <w:t>6.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Распоряжения по следующим направлениям: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88"/>
      <w:bookmarkEnd w:id="8"/>
      <w:r w:rsidRPr="00723928">
        <w:rPr>
          <w:rFonts w:ascii="Times New Roman" w:hAnsi="Times New Roman" w:cs="Times New Roman"/>
          <w:sz w:val="28"/>
          <w:szCs w:val="28"/>
        </w:rPr>
        <w:t xml:space="preserve">1) соответствие указанных в Распоряжении кодов классификации расходов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2) соответствие содержания операции, исходя из денежного обязательства, содержанию текста назначения платежа, указанному в Распоряжении;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3) соответствие указанных в Распоряжении кодов видов расходов классификации расходов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текстовому назначению платежа, исходя из содержания текста назначения платежа, в соответствии с порядком применения кодов бюджетной классификации Российской Федерации, определенным Министерством финансов Российской Федерации</w:t>
      </w:r>
      <w:r w:rsidR="00031E25">
        <w:rPr>
          <w:rStyle w:val="ad"/>
          <w:rFonts w:ascii="Times New Roman" w:hAnsi="Times New Roman" w:cs="Times New Roman"/>
          <w:sz w:val="28"/>
          <w:szCs w:val="28"/>
        </w:rPr>
        <w:footnoteReference w:id="8"/>
      </w:r>
      <w:r w:rsidRPr="00723928">
        <w:rPr>
          <w:rFonts w:ascii="Times New Roman" w:hAnsi="Times New Roman" w:cs="Times New Roman"/>
          <w:sz w:val="28"/>
          <w:szCs w:val="28"/>
        </w:rPr>
        <w:t xml:space="preserve"> &lt;7&gt; (далее - порядок применения бюджетной классификации);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4) непревышение сумм в Распоряжении остатков неисполненных бюджетных обязательств, лимитов бюджетных обязательств и предельных объемов финансирования, учтенных на соответствующем лицевом счете, в том числе по уникальным кодам объектов капитального строительства или объектов недвижимого имущества (мероприятий по информатизации);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5) соответствие наименования, ИНН, КПП (при наличии), банковских реквизитов получателя денежных средств, указанных в Распоряжении, наименованию, ИНН, КПП (при наличии), банковским реквизитам получателя денежных средств, указанным в бюджетном обязательстве;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6) соответствие реквизитов Распоряжения требованиям бюджетного законодательства Российской Федерации о перечислении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на соответствующие казначейские счета;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7) идентичность кода участника бюджетного процесса по Сводному реестру по денежному обязательству и платежу;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8) идентичность кода (кодов) классификации расходов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по денежному обязательству и платежу;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9) идентичность кода валюты, в которой принято денежное обязательство, и кода валюты, в которой должен быть осуществлен платеж по Распоряжению;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lastRenderedPageBreak/>
        <w:t>10) непревышение суммы Распоряжения над суммой неисполненного денежного обязательства, рассчитанной как разница суммы денежного обязательства (в случае исполнения денежного обязательства многократно - с учетом ранее произведенных перечислений по данному денежному обязательству) и суммы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11) соответствие кода классификации расходов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и уникального кода объекта капитального строительства или объекта недвижимого имущества (мероприятия по информатизации) по денежному обязательству и платежу;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12) непревышение размера авансового платежа, указанного в Распоряжении, над суммой авансового платежа по бюджетному обязательству с учетом ранее осуществленных авансовых платежей;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03"/>
      <w:bookmarkEnd w:id="9"/>
      <w:r w:rsidRPr="00723928">
        <w:rPr>
          <w:rFonts w:ascii="Times New Roman" w:hAnsi="Times New Roman" w:cs="Times New Roman"/>
          <w:sz w:val="28"/>
          <w:szCs w:val="28"/>
        </w:rPr>
        <w:t xml:space="preserve">13) соответствие уникального номера реестровой записи в определенном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реестре контрактов, заключенных заказчиками, или реестре контрактов, содержащих сведения, составляющие государственную тайну (далее соответственно - реестр контрактов, реестр контрактов, содержащих государственную тайну) </w:t>
      </w:r>
      <w:r w:rsidR="00031E25">
        <w:rPr>
          <w:rStyle w:val="ad"/>
          <w:rFonts w:ascii="Times New Roman" w:hAnsi="Times New Roman" w:cs="Times New Roman"/>
          <w:sz w:val="28"/>
          <w:szCs w:val="28"/>
        </w:rPr>
        <w:footnoteReference w:id="9"/>
      </w:r>
      <w:r w:rsidRPr="00723928">
        <w:rPr>
          <w:rFonts w:ascii="Times New Roman" w:hAnsi="Times New Roman" w:cs="Times New Roman"/>
          <w:sz w:val="28"/>
          <w:szCs w:val="28"/>
        </w:rPr>
        <w:t>&lt;8&gt;, договору (государственному</w:t>
      </w:r>
      <w:r w:rsidR="00FB71A1">
        <w:rPr>
          <w:rFonts w:ascii="Times New Roman" w:hAnsi="Times New Roman" w:cs="Times New Roman"/>
          <w:sz w:val="28"/>
          <w:szCs w:val="28"/>
        </w:rPr>
        <w:t>, муниципальному</w:t>
      </w:r>
      <w:r w:rsidRPr="00723928">
        <w:rPr>
          <w:rFonts w:ascii="Times New Roman" w:hAnsi="Times New Roman" w:cs="Times New Roman"/>
          <w:sz w:val="28"/>
          <w:szCs w:val="28"/>
        </w:rPr>
        <w:t xml:space="preserve"> контракту), подлежащему включению в реестр контрактов или реестр контрактов, составляющих государственную тайну, указанных в Распоряжении.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Проверка, установленная настоящим подпунктом, не производится при представлении Распоряжения для осуществления первого авансового платежа по договору (государственному</w:t>
      </w:r>
      <w:r w:rsidR="00867C49">
        <w:rPr>
          <w:rFonts w:ascii="Times New Roman" w:hAnsi="Times New Roman" w:cs="Times New Roman"/>
          <w:sz w:val="28"/>
          <w:szCs w:val="28"/>
        </w:rPr>
        <w:t>, муниципальному</w:t>
      </w:r>
      <w:r w:rsidRPr="00723928">
        <w:rPr>
          <w:rFonts w:ascii="Times New Roman" w:hAnsi="Times New Roman" w:cs="Times New Roman"/>
          <w:sz w:val="28"/>
          <w:szCs w:val="28"/>
        </w:rPr>
        <w:t xml:space="preserve"> контракту), содержащему сведения, составляющие государственную тайну;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08"/>
      <w:bookmarkEnd w:id="10"/>
      <w:r w:rsidRPr="00723928">
        <w:rPr>
          <w:rFonts w:ascii="Times New Roman" w:hAnsi="Times New Roman" w:cs="Times New Roman"/>
          <w:sz w:val="28"/>
          <w:szCs w:val="28"/>
        </w:rPr>
        <w:t>14) непревышение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платежа, установленным постановлением</w:t>
      </w:r>
      <w:r w:rsidR="00867C49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</w:t>
      </w:r>
      <w:r w:rsidRPr="00723928">
        <w:rPr>
          <w:rFonts w:ascii="Times New Roman" w:hAnsi="Times New Roman" w:cs="Times New Roman"/>
          <w:sz w:val="28"/>
          <w:szCs w:val="28"/>
        </w:rPr>
        <w:t>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09"/>
      <w:bookmarkEnd w:id="11"/>
      <w:r w:rsidRPr="00723928">
        <w:rPr>
          <w:rFonts w:ascii="Times New Roman" w:hAnsi="Times New Roman" w:cs="Times New Roman"/>
          <w:sz w:val="28"/>
          <w:szCs w:val="28"/>
        </w:rPr>
        <w:t>15) неопережение графика внесения арендной платы по бюджетному обязательству, в случае представления Распоряжения для оплаты денежных обязательств по договору аренды;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10"/>
      <w:bookmarkEnd w:id="12"/>
      <w:r w:rsidRPr="00723928">
        <w:rPr>
          <w:rFonts w:ascii="Times New Roman" w:hAnsi="Times New Roman" w:cs="Times New Roman"/>
          <w:sz w:val="28"/>
          <w:szCs w:val="28"/>
        </w:rPr>
        <w:lastRenderedPageBreak/>
        <w:t xml:space="preserve">16) наличие размещенного в реестре </w:t>
      </w:r>
      <w:r w:rsidR="00FB71A1">
        <w:rPr>
          <w:rFonts w:ascii="Times New Roman" w:hAnsi="Times New Roman" w:cs="Times New Roman"/>
          <w:sz w:val="28"/>
          <w:szCs w:val="28"/>
        </w:rPr>
        <w:t>муниципальных</w:t>
      </w:r>
      <w:r w:rsidRPr="00723928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FB71A1">
        <w:rPr>
          <w:rFonts w:ascii="Times New Roman" w:hAnsi="Times New Roman" w:cs="Times New Roman"/>
          <w:sz w:val="28"/>
          <w:szCs w:val="28"/>
        </w:rPr>
        <w:t>муниципальных</w:t>
      </w:r>
      <w:r w:rsidRPr="00723928">
        <w:rPr>
          <w:rFonts w:ascii="Times New Roman" w:hAnsi="Times New Roman" w:cs="Times New Roman"/>
          <w:sz w:val="28"/>
          <w:szCs w:val="28"/>
        </w:rPr>
        <w:t xml:space="preserve"> услуг (выполнение работ) на едином портале бюджетной системы Российской Федерации </w:t>
      </w:r>
      <w:r w:rsidR="00FB71A1">
        <w:rPr>
          <w:rFonts w:ascii="Times New Roman" w:hAnsi="Times New Roman" w:cs="Times New Roman"/>
          <w:sz w:val="28"/>
          <w:szCs w:val="28"/>
        </w:rPr>
        <w:t>муниципального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FB71A1">
        <w:rPr>
          <w:rFonts w:ascii="Times New Roman" w:hAnsi="Times New Roman" w:cs="Times New Roman"/>
          <w:sz w:val="28"/>
          <w:szCs w:val="28"/>
        </w:rPr>
        <w:t>муниципальных</w:t>
      </w:r>
      <w:r w:rsidRPr="00723928">
        <w:rPr>
          <w:rFonts w:ascii="Times New Roman" w:hAnsi="Times New Roman" w:cs="Times New Roman"/>
          <w:sz w:val="28"/>
          <w:szCs w:val="28"/>
        </w:rPr>
        <w:t xml:space="preserve"> услуг (выполнение работ), в порядке, установленном Министерством финансов Российской Федерации </w:t>
      </w:r>
      <w:r w:rsidR="00031E25">
        <w:rPr>
          <w:rStyle w:val="ad"/>
          <w:rFonts w:ascii="Times New Roman" w:hAnsi="Times New Roman" w:cs="Times New Roman"/>
          <w:sz w:val="28"/>
          <w:szCs w:val="28"/>
        </w:rPr>
        <w:footnoteReference w:id="10"/>
      </w:r>
      <w:r w:rsidRPr="00723928">
        <w:rPr>
          <w:rFonts w:ascii="Times New Roman" w:hAnsi="Times New Roman" w:cs="Times New Roman"/>
          <w:sz w:val="28"/>
          <w:szCs w:val="28"/>
        </w:rPr>
        <w:t xml:space="preserve">&lt;9&gt;, в случае представления Распоряжения при перечислении субсидии на финансовое обеспечение выполнения </w:t>
      </w:r>
      <w:r w:rsidR="00FB71A1">
        <w:rPr>
          <w:rFonts w:ascii="Times New Roman" w:hAnsi="Times New Roman" w:cs="Times New Roman"/>
          <w:sz w:val="28"/>
          <w:szCs w:val="28"/>
        </w:rPr>
        <w:t>муниципального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14"/>
      <w:bookmarkEnd w:id="13"/>
      <w:r w:rsidRPr="00723928">
        <w:rPr>
          <w:rFonts w:ascii="Times New Roman" w:hAnsi="Times New Roman" w:cs="Times New Roman"/>
          <w:sz w:val="28"/>
          <w:szCs w:val="28"/>
        </w:rPr>
        <w:t>В случаях и в порядке, установленных федеральными законами и (или) принятыми в соответствии с ними нормативными правовыми актами Правительства Российской Федерации, осуществляется проверка информации, содержащейся в денежном обязательстве, на соответствие фактически поставленным товарам, выполненным работам, оказанным услугам.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15"/>
      <w:bookmarkEnd w:id="14"/>
      <w:r w:rsidRPr="00723928">
        <w:rPr>
          <w:rFonts w:ascii="Times New Roman" w:hAnsi="Times New Roman" w:cs="Times New Roman"/>
          <w:sz w:val="28"/>
          <w:szCs w:val="28"/>
        </w:rPr>
        <w:t xml:space="preserve">7. В случае если Распоряжение представляется для оплаты денежного обязательства, сформированного </w:t>
      </w:r>
      <w:r w:rsidR="00047A1B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="00047A1B" w:rsidRPr="00723928">
        <w:rPr>
          <w:rFonts w:ascii="Times New Roman" w:hAnsi="Times New Roman" w:cs="Times New Roman"/>
          <w:sz w:val="28"/>
          <w:szCs w:val="28"/>
        </w:rP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в соответствии с порядком учета обязательств, получатель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представляет в </w:t>
      </w:r>
      <w:r w:rsidR="00047A1B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Pr="00723928">
        <w:rPr>
          <w:rFonts w:ascii="Times New Roman" w:hAnsi="Times New Roman" w:cs="Times New Roman"/>
          <w:sz w:val="28"/>
          <w:szCs w:val="28"/>
        </w:rPr>
        <w:t xml:space="preserve"> вместе с Распоряжением указанный в нем документ, подтверждающий возникновение денежного обязательства, за исключением документов, содержащих сведения, составляющие государственную и иную охраняемую законом тайну.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При санкционировании оплаты денежных обязательств в случае, установленном настоящим пунктом, дополнительно к направлениям проверки, установленным </w:t>
      </w:r>
      <w:hyperlink w:anchor="P87" w:history="1">
        <w:r w:rsidRPr="00723928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проверка равенства сумм Распоряжения сумме соответствующего денежного обязательства.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17"/>
      <w:bookmarkEnd w:id="15"/>
      <w:r w:rsidRPr="00723928">
        <w:rPr>
          <w:rFonts w:ascii="Times New Roman" w:hAnsi="Times New Roman" w:cs="Times New Roman"/>
          <w:sz w:val="28"/>
          <w:szCs w:val="28"/>
        </w:rPr>
        <w:t>8. При санкционировании оплаты денежных обязательств, возникших из заключенных государственных</w:t>
      </w:r>
      <w:r w:rsidR="00FB71A1">
        <w:rPr>
          <w:rFonts w:ascii="Times New Roman" w:hAnsi="Times New Roman" w:cs="Times New Roman"/>
          <w:sz w:val="28"/>
          <w:szCs w:val="28"/>
        </w:rPr>
        <w:t>, муниципальных</w:t>
      </w:r>
      <w:r w:rsidRPr="00723928">
        <w:rPr>
          <w:rFonts w:ascii="Times New Roman" w:hAnsi="Times New Roman" w:cs="Times New Roman"/>
          <w:sz w:val="28"/>
          <w:szCs w:val="28"/>
        </w:rPr>
        <w:t xml:space="preserve"> контрактов, предметом которых является строительство, реконструкция объектов капитального строительства, дополнительно к направлениям проверки, установленным </w:t>
      </w:r>
      <w:hyperlink w:anchor="P87" w:history="1">
        <w:r w:rsidRPr="00723928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проверка наличия утвержденной проектной документации на указанные объекты капитального строительства согласно сведениям, доведенным до </w:t>
      </w:r>
      <w:r w:rsidR="00047A1B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Pr="00723928">
        <w:rPr>
          <w:rFonts w:ascii="Times New Roman" w:hAnsi="Times New Roman" w:cs="Times New Roman"/>
          <w:sz w:val="28"/>
          <w:szCs w:val="28"/>
        </w:rPr>
        <w:t xml:space="preserve"> в соответствии с Порядком составления и ведения сводной бюджетной росписи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18"/>
      <w:bookmarkEnd w:id="16"/>
      <w:r w:rsidRPr="00723928">
        <w:rPr>
          <w:rFonts w:ascii="Times New Roman" w:hAnsi="Times New Roman" w:cs="Times New Roman"/>
          <w:sz w:val="28"/>
          <w:szCs w:val="28"/>
        </w:rPr>
        <w:lastRenderedPageBreak/>
        <w:t>9. Для подтверждения денежного обязательства, возникшего по бюджетному обязательству, обусловленному договором (государственным</w:t>
      </w:r>
      <w:r w:rsidR="00FB71A1">
        <w:rPr>
          <w:rFonts w:ascii="Times New Roman" w:hAnsi="Times New Roman" w:cs="Times New Roman"/>
          <w:sz w:val="28"/>
          <w:szCs w:val="28"/>
        </w:rPr>
        <w:t>, муниципальным</w:t>
      </w:r>
      <w:r w:rsidRPr="00723928">
        <w:rPr>
          <w:rFonts w:ascii="Times New Roman" w:hAnsi="Times New Roman" w:cs="Times New Roman"/>
          <w:sz w:val="28"/>
          <w:szCs w:val="28"/>
        </w:rPr>
        <w:t xml:space="preserve"> контрактом), предусматривающим обязанность получателя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B71A1">
        <w:rPr>
          <w:rFonts w:ascii="Times New Roman" w:hAnsi="Times New Roman" w:cs="Times New Roman"/>
          <w:sz w:val="28"/>
          <w:szCs w:val="28"/>
        </w:rPr>
        <w:t>–</w:t>
      </w:r>
      <w:r w:rsidRPr="00723928">
        <w:rPr>
          <w:rFonts w:ascii="Times New Roman" w:hAnsi="Times New Roman" w:cs="Times New Roman"/>
          <w:sz w:val="28"/>
          <w:szCs w:val="28"/>
        </w:rPr>
        <w:t xml:space="preserve"> государственного</w:t>
      </w:r>
      <w:r w:rsidR="00FB71A1">
        <w:rPr>
          <w:rFonts w:ascii="Times New Roman" w:hAnsi="Times New Roman" w:cs="Times New Roman"/>
          <w:sz w:val="28"/>
          <w:szCs w:val="28"/>
        </w:rPr>
        <w:t>, муниципального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заказчика по перечислению суммы неустойки (штрафа, пеней)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в доход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бюджета, получатель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представляет в </w:t>
      </w:r>
      <w:r w:rsidR="00047A1B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="00047A1B" w:rsidRPr="00723928">
        <w:rPr>
          <w:rFonts w:ascii="Times New Roman" w:hAnsi="Times New Roman" w:cs="Times New Roman"/>
          <w:sz w:val="28"/>
          <w:szCs w:val="28"/>
        </w:rP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>по месту обслуживания не позднее представления Распоряжения на оплату денежного обязательства по договору (государственному</w:t>
      </w:r>
      <w:r w:rsidR="00FB71A1">
        <w:rPr>
          <w:rFonts w:ascii="Times New Roman" w:hAnsi="Times New Roman" w:cs="Times New Roman"/>
          <w:sz w:val="28"/>
          <w:szCs w:val="28"/>
        </w:rPr>
        <w:t>, муниципальному</w:t>
      </w:r>
      <w:r w:rsidRPr="00723928">
        <w:rPr>
          <w:rFonts w:ascii="Times New Roman" w:hAnsi="Times New Roman" w:cs="Times New Roman"/>
          <w:sz w:val="28"/>
          <w:szCs w:val="28"/>
        </w:rPr>
        <w:t xml:space="preserve"> контракту) Распоряжение на перечисление в доход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суммы неустойки (штрафа, пеней) по данному договору (государственному</w:t>
      </w:r>
      <w:r w:rsidR="00FB71A1">
        <w:rPr>
          <w:rFonts w:ascii="Times New Roman" w:hAnsi="Times New Roman" w:cs="Times New Roman"/>
          <w:sz w:val="28"/>
          <w:szCs w:val="28"/>
        </w:rPr>
        <w:t>, муниципальному</w:t>
      </w:r>
      <w:r w:rsidRPr="00723928">
        <w:rPr>
          <w:rFonts w:ascii="Times New Roman" w:hAnsi="Times New Roman" w:cs="Times New Roman"/>
          <w:sz w:val="28"/>
          <w:szCs w:val="28"/>
        </w:rPr>
        <w:t xml:space="preserve"> контракту).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19"/>
      <w:bookmarkEnd w:id="17"/>
      <w:r w:rsidRPr="00723928">
        <w:rPr>
          <w:rFonts w:ascii="Times New Roman" w:hAnsi="Times New Roman" w:cs="Times New Roman"/>
          <w:sz w:val="28"/>
          <w:szCs w:val="28"/>
        </w:rPr>
        <w:t>10.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направлениям: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1) соответствие указанных в Распоряжении кодов классификации расходов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2) соответствие указанных в Распоряжении кодов видов расходов классификации расходов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3) непревышение сумм, указанных в Распоряжении, над остатками соответствующих бюджетных ассигнований, учтенных на лицевом счете получателя бюджетных средств.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23"/>
      <w:bookmarkEnd w:id="18"/>
      <w:r w:rsidRPr="00723928">
        <w:rPr>
          <w:rFonts w:ascii="Times New Roman" w:hAnsi="Times New Roman" w:cs="Times New Roman"/>
          <w:sz w:val="28"/>
          <w:szCs w:val="28"/>
        </w:rPr>
        <w:t xml:space="preserve">11. При санкционировании оплаты денежных обязательств по перечислениям по источникам финансирования дефицита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осуществляется проверка Распоряжения по следующим направлениям: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1) соответствие указанных в Распоряжении кодов классификации источников финансирования дефицита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2) соответствие указанных в Распоряжении кодов аналитической группы вида источника финансирования дефицита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>3) непревышение сумм, указанных в Распоряжении, остаткам соответствующих бюджетных ассигнований, учтенных на лицевом счете администратора источников внутреннего (внешнего) финансирования дефицита бюджета.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12. В случае если информация, указанная в Распоряжении, или его форма не соответствуют требованиям, установленным </w:t>
      </w:r>
      <w:hyperlink w:anchor="P47" w:history="1">
        <w:r w:rsidRPr="00723928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0" w:history="1">
        <w:r w:rsidRPr="00723928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88" w:history="1">
        <w:r w:rsidRPr="00723928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3" w:history="1">
        <w:r w:rsidRPr="00723928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0" w:history="1">
        <w:r w:rsidRPr="00723928">
          <w:rPr>
            <w:rFonts w:ascii="Times New Roman" w:hAnsi="Times New Roman" w:cs="Times New Roman"/>
            <w:sz w:val="28"/>
            <w:szCs w:val="28"/>
          </w:rPr>
          <w:t>16 пункта 6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5" w:history="1">
        <w:r w:rsidRPr="00723928">
          <w:rPr>
            <w:rFonts w:ascii="Times New Roman" w:hAnsi="Times New Roman" w:cs="Times New Roman"/>
            <w:sz w:val="28"/>
            <w:szCs w:val="28"/>
          </w:rPr>
          <w:t>пунктами 7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7" w:history="1">
        <w:r w:rsidRPr="00723928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9" w:history="1">
        <w:r w:rsidRPr="00723928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23" w:history="1">
        <w:r w:rsidRPr="00723928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настоящего Порядка, или в случае установления нарушения получателем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условий, установленных </w:t>
      </w:r>
      <w:hyperlink w:anchor="P118" w:history="1">
        <w:r w:rsidRPr="00723928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047A1B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Pr="00723928">
        <w:rPr>
          <w:rFonts w:ascii="Times New Roman" w:hAnsi="Times New Roman" w:cs="Times New Roman"/>
          <w:sz w:val="28"/>
          <w:szCs w:val="28"/>
        </w:rPr>
        <w:t xml:space="preserve"> не позднее сроков, установленных </w:t>
      </w:r>
      <w:hyperlink w:anchor="P47" w:history="1">
        <w:r w:rsidRPr="00723928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получателю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уведомление в электронной форме, содержащее информацию, позволяющую идентифицировать Распоряжение, не принятое к исполнению, а также содержащее дату и причину отказа, согласно правилам организации и функционирования системы казначейских платежей </w:t>
      </w:r>
      <w:r w:rsidR="00031E25">
        <w:rPr>
          <w:rStyle w:val="ad"/>
          <w:rFonts w:ascii="Times New Roman" w:hAnsi="Times New Roman" w:cs="Times New Roman"/>
          <w:sz w:val="28"/>
          <w:szCs w:val="28"/>
        </w:rPr>
        <w:footnoteReference w:id="11"/>
      </w:r>
      <w:r w:rsidRPr="00723928">
        <w:rPr>
          <w:rFonts w:ascii="Times New Roman" w:hAnsi="Times New Roman" w:cs="Times New Roman"/>
          <w:sz w:val="28"/>
          <w:szCs w:val="28"/>
        </w:rPr>
        <w:t>&lt;10&gt;.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При установлении органом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казначейства нарушений получателем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условий, установленных </w:t>
      </w:r>
      <w:hyperlink w:anchor="P108" w:history="1">
        <w:r w:rsidRPr="00723928">
          <w:rPr>
            <w:rFonts w:ascii="Times New Roman" w:hAnsi="Times New Roman" w:cs="Times New Roman"/>
            <w:sz w:val="28"/>
            <w:szCs w:val="28"/>
          </w:rPr>
          <w:t>подпунктами 14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и (или) </w:t>
      </w:r>
      <w:hyperlink w:anchor="P109" w:history="1">
        <w:r w:rsidRPr="00723928">
          <w:rPr>
            <w:rFonts w:ascii="Times New Roman" w:hAnsi="Times New Roman" w:cs="Times New Roman"/>
            <w:sz w:val="28"/>
            <w:szCs w:val="28"/>
          </w:rPr>
          <w:t>15 пункта 6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настоящего Порядка, орган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казначейства не позднее двух рабочих дней после отражения операций, вызвавших указанные нарушения, на соответствующем лицевом счете доводит информацию о данных нарушениях до получателя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путем направления Уведомления о нарушении установленных предельных размеров авансового платежа по форме согласно </w:t>
      </w:r>
      <w:hyperlink w:anchor="P155" w:history="1">
        <w:r w:rsidRPr="0072392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047A1B">
          <w:rPr>
            <w:rFonts w:ascii="Times New Roman" w:hAnsi="Times New Roman" w:cs="Times New Roman"/>
            <w:sz w:val="28"/>
            <w:szCs w:val="28"/>
          </w:rPr>
          <w:t>№</w:t>
        </w:r>
        <w:r w:rsidRPr="00723928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к настоящему Порядку &lt;11&gt; (код формы по КФД 0504713) и (или) Уведомления о нарушении сроков внесения и размеров арендной платы по форме согласно </w:t>
      </w:r>
      <w:hyperlink w:anchor="P299" w:history="1">
        <w:r w:rsidRPr="0072392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047A1B">
          <w:rPr>
            <w:rFonts w:ascii="Times New Roman" w:hAnsi="Times New Roman" w:cs="Times New Roman"/>
            <w:sz w:val="28"/>
            <w:szCs w:val="28"/>
          </w:rPr>
          <w:t>№</w:t>
        </w:r>
        <w:r w:rsidRPr="00723928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к настоящему Порядку </w:t>
      </w:r>
      <w:r w:rsidR="00031E25">
        <w:rPr>
          <w:rStyle w:val="ad"/>
          <w:rFonts w:ascii="Times New Roman" w:hAnsi="Times New Roman" w:cs="Times New Roman"/>
          <w:sz w:val="28"/>
          <w:szCs w:val="28"/>
        </w:rPr>
        <w:footnoteReference w:id="12"/>
      </w:r>
      <w:r w:rsidRPr="00723928">
        <w:rPr>
          <w:rFonts w:ascii="Times New Roman" w:hAnsi="Times New Roman" w:cs="Times New Roman"/>
          <w:sz w:val="28"/>
          <w:szCs w:val="28"/>
        </w:rPr>
        <w:t xml:space="preserve">&lt;11&gt; (код формы по КФД 0504714), а также обеспечивает доведение указанной информации до главного распорядителя (распорядителя)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бюджета, в ведении которого находится допустивший нарушение получатель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бюджета, не позднее десяти рабочих дней после отражения операций, вызвавших указанные нарушения, на соответствующем лицевом счете.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13. При положительном результате проверки в соответствии с требованиями, установленными настоящим Порядком, в Распоряжении, представленном на бумажном носителе, </w:t>
      </w:r>
      <w:r w:rsidR="00047A1B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="00047A1B" w:rsidRPr="00723928">
        <w:rPr>
          <w:rFonts w:ascii="Times New Roman" w:hAnsi="Times New Roman" w:cs="Times New Roman"/>
          <w:sz w:val="28"/>
          <w:szCs w:val="28"/>
        </w:rP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проставляется отметка, подтверждающая санкционирование оплаты денежных обязательств получателя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(администратора источников финансирования дефицита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бюджета) с указанием даты, подписи, расшифровки подписи, содержащей фамилию, инициалы ответственного исполнителя </w:t>
      </w:r>
      <w:r w:rsidR="00047A1B">
        <w:rPr>
          <w:rFonts w:ascii="Times New Roman" w:hAnsi="Times New Roman" w:cs="Times New Roman"/>
          <w:sz w:val="28"/>
          <w:szCs w:val="28"/>
        </w:rPr>
        <w:t>УФК по Красноярскому краю</w:t>
      </w:r>
      <w:r w:rsidRPr="00723928">
        <w:rPr>
          <w:rFonts w:ascii="Times New Roman" w:hAnsi="Times New Roman" w:cs="Times New Roman"/>
          <w:sz w:val="28"/>
          <w:szCs w:val="28"/>
        </w:rPr>
        <w:t xml:space="preserve">, и </w:t>
      </w:r>
      <w:r w:rsidRPr="00723928">
        <w:rPr>
          <w:rFonts w:ascii="Times New Roman" w:hAnsi="Times New Roman" w:cs="Times New Roman"/>
          <w:sz w:val="28"/>
          <w:szCs w:val="28"/>
        </w:rPr>
        <w:lastRenderedPageBreak/>
        <w:t>Распоряжение принимается к исполнению.</w:t>
      </w:r>
    </w:p>
    <w:p w:rsidR="00DD3A15" w:rsidRPr="00723928" w:rsidRDefault="00DD3A15" w:rsidP="00F71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928">
        <w:rPr>
          <w:rFonts w:ascii="Times New Roman" w:hAnsi="Times New Roman" w:cs="Times New Roman"/>
          <w:sz w:val="28"/>
          <w:szCs w:val="28"/>
        </w:rPr>
        <w:t xml:space="preserve">14. Представление и хранение Распоряжения для санкционирования оплаты денежных обязательств получателей средств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 (администраторов источников финансирования дефицита </w:t>
      </w:r>
      <w:r w:rsidR="00660788">
        <w:rPr>
          <w:rFonts w:ascii="Times New Roman" w:hAnsi="Times New Roman" w:cs="Times New Roman"/>
          <w:sz w:val="28"/>
          <w:szCs w:val="28"/>
        </w:rPr>
        <w:t>местного</w:t>
      </w:r>
      <w:r w:rsidRPr="00723928">
        <w:rPr>
          <w:rFonts w:ascii="Times New Roman" w:hAnsi="Times New Roman" w:cs="Times New Roman"/>
          <w:sz w:val="28"/>
          <w:szCs w:val="28"/>
        </w:rPr>
        <w:t xml:space="preserve"> бюджета), содержащего сведения, составляющие государственную тайну, осуществляется в соответствии с настоящим Порядком с соблюдением норм законодательства Российской Федерации о защите государственной тайны.</w:t>
      </w:r>
    </w:p>
    <w:p w:rsidR="00DD3A15" w:rsidRPr="00723928" w:rsidRDefault="00DD3A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3A15" w:rsidRPr="00723928" w:rsidRDefault="00DD3A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3A15" w:rsidRPr="00723928" w:rsidRDefault="00DD3A15">
      <w:pPr>
        <w:pStyle w:val="ConsPlusNormal"/>
        <w:jc w:val="both"/>
      </w:pPr>
    </w:p>
    <w:p w:rsidR="00DD3A15" w:rsidRPr="00723928" w:rsidRDefault="00DD3A15">
      <w:pPr>
        <w:pStyle w:val="ConsPlusNormal"/>
        <w:jc w:val="both"/>
      </w:pPr>
    </w:p>
    <w:p w:rsidR="00DD3A15" w:rsidRPr="00723928" w:rsidRDefault="00DD3A15">
      <w:pPr>
        <w:pStyle w:val="ConsPlusNormal"/>
        <w:jc w:val="both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156794" w:rsidRDefault="00156794">
      <w:pPr>
        <w:pStyle w:val="ConsPlusNormal"/>
        <w:jc w:val="right"/>
        <w:outlineLvl w:val="1"/>
      </w:pPr>
    </w:p>
    <w:p w:rsidR="00DD3A15" w:rsidRPr="00723928" w:rsidRDefault="00DD3A15">
      <w:pPr>
        <w:pStyle w:val="ConsPlusNormal"/>
        <w:jc w:val="right"/>
        <w:outlineLvl w:val="1"/>
      </w:pPr>
      <w:r w:rsidRPr="00723928">
        <w:lastRenderedPageBreak/>
        <w:t>Приложение N 1</w:t>
      </w:r>
    </w:p>
    <w:p w:rsidR="00DD3A15" w:rsidRPr="00723928" w:rsidRDefault="00DD3A15">
      <w:pPr>
        <w:pStyle w:val="ConsPlusNormal"/>
        <w:jc w:val="right"/>
      </w:pPr>
      <w:r w:rsidRPr="00723928">
        <w:t>к Порядку санкционирования оплаты</w:t>
      </w:r>
    </w:p>
    <w:p w:rsidR="00DD3A15" w:rsidRPr="00723928" w:rsidRDefault="00DD3A15">
      <w:pPr>
        <w:pStyle w:val="ConsPlusNormal"/>
        <w:jc w:val="right"/>
      </w:pPr>
      <w:r w:rsidRPr="00723928">
        <w:t>денежных обязательств получателей</w:t>
      </w:r>
    </w:p>
    <w:p w:rsidR="00156794" w:rsidRDefault="00DD3A15">
      <w:pPr>
        <w:pStyle w:val="ConsPlusNormal"/>
        <w:jc w:val="right"/>
      </w:pPr>
      <w:r w:rsidRPr="00723928">
        <w:t xml:space="preserve">средств </w:t>
      </w:r>
      <w:r w:rsidR="00660788">
        <w:t>местного</w:t>
      </w:r>
      <w:r w:rsidRPr="00723928">
        <w:t xml:space="preserve"> бюджета</w:t>
      </w:r>
      <w:r w:rsidR="00156794">
        <w:t xml:space="preserve"> </w:t>
      </w:r>
      <w:r w:rsidRPr="00723928">
        <w:t xml:space="preserve">и оплаты </w:t>
      </w:r>
    </w:p>
    <w:p w:rsidR="00156794" w:rsidRDefault="00DD3A15">
      <w:pPr>
        <w:pStyle w:val="ConsPlusNormal"/>
        <w:jc w:val="right"/>
      </w:pPr>
      <w:r w:rsidRPr="00723928">
        <w:t>денежных обязательств,</w:t>
      </w:r>
      <w:r w:rsidR="00156794">
        <w:t xml:space="preserve"> </w:t>
      </w:r>
      <w:r w:rsidRPr="00723928">
        <w:t xml:space="preserve">подлежащих </w:t>
      </w:r>
    </w:p>
    <w:p w:rsidR="00156794" w:rsidRDefault="00DD3A15">
      <w:pPr>
        <w:pStyle w:val="ConsPlusNormal"/>
        <w:jc w:val="right"/>
      </w:pPr>
      <w:r w:rsidRPr="00723928">
        <w:t>исполнению за счет</w:t>
      </w:r>
      <w:r w:rsidR="00156794">
        <w:t xml:space="preserve"> </w:t>
      </w:r>
      <w:r w:rsidRPr="00723928">
        <w:t>бюджетных</w:t>
      </w:r>
      <w:r w:rsidR="00156794">
        <w:t xml:space="preserve"> </w:t>
      </w:r>
      <w:r w:rsidRPr="00723928">
        <w:t>ассигнований</w:t>
      </w:r>
    </w:p>
    <w:p w:rsidR="00156794" w:rsidRDefault="00DD3A15">
      <w:pPr>
        <w:pStyle w:val="ConsPlusNormal"/>
        <w:jc w:val="right"/>
      </w:pPr>
      <w:r w:rsidRPr="00723928">
        <w:t xml:space="preserve"> по источникам</w:t>
      </w:r>
      <w:r w:rsidR="00156794">
        <w:t xml:space="preserve"> </w:t>
      </w:r>
      <w:r w:rsidRPr="00723928">
        <w:t xml:space="preserve">финансирования </w:t>
      </w:r>
    </w:p>
    <w:p w:rsidR="00156794" w:rsidRDefault="00DD3A15">
      <w:pPr>
        <w:pStyle w:val="ConsPlusNormal"/>
        <w:jc w:val="right"/>
      </w:pPr>
      <w:r w:rsidRPr="00723928">
        <w:t xml:space="preserve">дефицита </w:t>
      </w:r>
      <w:r w:rsidR="00660788">
        <w:t>местного</w:t>
      </w:r>
      <w:r w:rsidR="00156794">
        <w:t xml:space="preserve"> </w:t>
      </w:r>
      <w:r w:rsidRPr="00723928">
        <w:t>бюджета, утвержденному</w:t>
      </w:r>
    </w:p>
    <w:p w:rsidR="00080604" w:rsidRDefault="00DD3A15">
      <w:pPr>
        <w:pStyle w:val="ConsPlusNormal"/>
        <w:jc w:val="right"/>
      </w:pPr>
      <w:r w:rsidRPr="00723928">
        <w:t xml:space="preserve"> приказом</w:t>
      </w:r>
      <w:r w:rsidR="00156794">
        <w:t xml:space="preserve"> </w:t>
      </w:r>
      <w:r w:rsidR="00080604">
        <w:t xml:space="preserve">финансового управления </w:t>
      </w:r>
    </w:p>
    <w:p w:rsidR="00DD3A15" w:rsidRPr="00723928" w:rsidRDefault="00080604">
      <w:pPr>
        <w:pStyle w:val="ConsPlusNormal"/>
        <w:jc w:val="right"/>
      </w:pPr>
      <w:r>
        <w:t>администрации Идринского района</w:t>
      </w:r>
    </w:p>
    <w:p w:rsidR="00DD3A15" w:rsidRPr="00723928" w:rsidRDefault="00DD3A15">
      <w:pPr>
        <w:pStyle w:val="ConsPlusNormal"/>
        <w:jc w:val="right"/>
      </w:pPr>
      <w:r w:rsidRPr="00723928">
        <w:t xml:space="preserve">от </w:t>
      </w:r>
      <w:r w:rsidR="00EB6638">
        <w:t>26</w:t>
      </w:r>
      <w:r w:rsidRPr="00723928">
        <w:t>.</w:t>
      </w:r>
      <w:r w:rsidR="00080604">
        <w:t>08</w:t>
      </w:r>
      <w:r w:rsidRPr="00723928">
        <w:t>.202</w:t>
      </w:r>
      <w:r w:rsidR="00080604">
        <w:t>1</w:t>
      </w:r>
      <w:r w:rsidRPr="00723928">
        <w:t xml:space="preserve"> </w:t>
      </w:r>
      <w:r w:rsidR="00EB6638">
        <w:t>№ 18</w:t>
      </w:r>
    </w:p>
    <w:p w:rsidR="00DD3A15" w:rsidRPr="00723928" w:rsidRDefault="00DD3A1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DD3A15" w:rsidRPr="0072392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  <w:jc w:val="center"/>
            </w:pPr>
            <w:bookmarkStart w:id="19" w:name="P155"/>
            <w:bookmarkEnd w:id="19"/>
            <w:r w:rsidRPr="00723928">
              <w:t>УВЕДОМЛЕНИЕ N _____</w:t>
            </w:r>
          </w:p>
          <w:p w:rsidR="00DD3A15" w:rsidRPr="00723928" w:rsidRDefault="00DD3A15">
            <w:pPr>
              <w:pStyle w:val="ConsPlusNormal"/>
              <w:jc w:val="center"/>
            </w:pPr>
            <w:r w:rsidRPr="00723928">
              <w:t>о нарушении установленных предельных размеров авансового платежа</w:t>
            </w:r>
          </w:p>
        </w:tc>
      </w:tr>
    </w:tbl>
    <w:p w:rsidR="00DD3A15" w:rsidRPr="00723928" w:rsidRDefault="00DD3A15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340"/>
        <w:gridCol w:w="2324"/>
        <w:gridCol w:w="340"/>
        <w:gridCol w:w="1928"/>
        <w:gridCol w:w="1020"/>
      </w:tblGrid>
      <w:tr w:rsidR="00DD3A15" w:rsidRPr="00723928">
        <w:tc>
          <w:tcPr>
            <w:tcW w:w="572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3A15" w:rsidRPr="00723928" w:rsidRDefault="00DD3A15">
            <w:pPr>
              <w:pStyle w:val="ConsPlusNormal"/>
              <w:jc w:val="center"/>
            </w:pPr>
            <w:r w:rsidRPr="00723928">
              <w:t>Коды</w:t>
            </w:r>
          </w:p>
        </w:tc>
      </w:tr>
      <w:tr w:rsidR="00DD3A15" w:rsidRPr="00723928">
        <w:tc>
          <w:tcPr>
            <w:tcW w:w="572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  <w:jc w:val="right"/>
            </w:pPr>
            <w:r w:rsidRPr="00723928">
              <w:t>Форма по КФД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  <w:jc w:val="center"/>
            </w:pPr>
            <w:r w:rsidRPr="00723928">
              <w:t>0504713</w:t>
            </w:r>
          </w:p>
        </w:tc>
      </w:tr>
      <w:tr w:rsidR="00DD3A15" w:rsidRPr="00723928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  <w:jc w:val="center"/>
            </w:pPr>
            <w:r w:rsidRPr="00723928">
              <w:t>от "__" 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  <w:jc w:val="right"/>
            </w:pPr>
            <w:r w:rsidRPr="00723928"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</w:pPr>
          </w:p>
        </w:tc>
      </w:tr>
      <w:tr w:rsidR="00DD3A15" w:rsidRPr="00723928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</w:pPr>
            <w:r w:rsidRPr="00723928">
              <w:t xml:space="preserve">Наименование органа </w:t>
            </w:r>
            <w:r w:rsidR="00660788">
              <w:t>Местного</w:t>
            </w:r>
            <w:r w:rsidRPr="00723928">
              <w:t xml:space="preserve"> казначейства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  <w:jc w:val="right"/>
            </w:pPr>
            <w:r w:rsidRPr="00723928">
              <w:t>по КОФК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</w:pPr>
          </w:p>
        </w:tc>
      </w:tr>
      <w:tr w:rsidR="00DD3A15" w:rsidRPr="00723928">
        <w:tc>
          <w:tcPr>
            <w:tcW w:w="30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  <w:r w:rsidRPr="00723928">
              <w:t>Главный распорядитель (распорядитель) бюджетных средств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  <w:jc w:val="right"/>
            </w:pPr>
            <w:r w:rsidRPr="00723928">
              <w:t>Глава по БК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</w:pPr>
          </w:p>
        </w:tc>
      </w:tr>
      <w:tr w:rsidR="00DD3A15" w:rsidRPr="00723928">
        <w:tc>
          <w:tcPr>
            <w:tcW w:w="306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/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/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  <w:jc w:val="right"/>
            </w:pPr>
            <w:r w:rsidRPr="00723928"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</w:pPr>
          </w:p>
        </w:tc>
      </w:tr>
      <w:tr w:rsidR="00DD3A15" w:rsidRPr="00723928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</w:pPr>
            <w:r w:rsidRPr="00723928">
              <w:t>Получатель бюджетных средств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  <w:jc w:val="right"/>
            </w:pPr>
            <w:r w:rsidRPr="00723928"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</w:pPr>
          </w:p>
        </w:tc>
      </w:tr>
      <w:tr w:rsidR="00DD3A15" w:rsidRPr="00723928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  <w:jc w:val="right"/>
            </w:pPr>
            <w:r w:rsidRPr="00723928">
              <w:t>Номер лицевого счета получателя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</w:pPr>
          </w:p>
        </w:tc>
      </w:tr>
      <w:tr w:rsidR="00DD3A15" w:rsidRPr="00723928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</w:pPr>
            <w:r w:rsidRPr="00723928">
              <w:t>Наименование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</w:pPr>
          </w:p>
        </w:tc>
      </w:tr>
      <w:tr w:rsidR="00DD3A15" w:rsidRPr="00723928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</w:pPr>
            <w:r w:rsidRPr="00723928">
              <w:t>Финансовый орган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</w:pPr>
          </w:p>
        </w:tc>
      </w:tr>
      <w:tr w:rsidR="00DD3A15" w:rsidRPr="00723928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  <w:jc w:val="right"/>
            </w:pPr>
            <w:r w:rsidRPr="00723928">
              <w:t>Учетный номер обязательства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</w:pPr>
          </w:p>
        </w:tc>
      </w:tr>
      <w:tr w:rsidR="00DD3A15" w:rsidRPr="00723928">
        <w:tc>
          <w:tcPr>
            <w:tcW w:w="57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  <w:r w:rsidRPr="00723928">
              <w:t>Единица измерения: руб. (с точностью до второго десятичного знака)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23928" w:rsidRDefault="00DD3A1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23928" w:rsidRDefault="00DD3A15">
            <w:pPr>
              <w:pStyle w:val="ConsPlusNormal"/>
              <w:jc w:val="right"/>
            </w:pPr>
            <w:r w:rsidRPr="00723928"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23928" w:rsidRDefault="006A74A7">
            <w:pPr>
              <w:pStyle w:val="ConsPlusNormal"/>
              <w:jc w:val="center"/>
            </w:pPr>
            <w:hyperlink r:id="rId14" w:history="1">
              <w:r w:rsidR="00DD3A15" w:rsidRPr="00723928">
                <w:t>383</w:t>
              </w:r>
            </w:hyperlink>
          </w:p>
        </w:tc>
      </w:tr>
    </w:tbl>
    <w:p w:rsidR="00DD3A15" w:rsidRPr="00723928" w:rsidRDefault="00DD3A15">
      <w:pPr>
        <w:pStyle w:val="ConsPlusNormal"/>
        <w:jc w:val="both"/>
      </w:pPr>
    </w:p>
    <w:p w:rsidR="00DD3A15" w:rsidRPr="00723928" w:rsidRDefault="00DD3A15">
      <w:pPr>
        <w:sectPr w:rsidR="00DD3A15" w:rsidRPr="00723928" w:rsidSect="00C629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69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567"/>
        <w:gridCol w:w="828"/>
        <w:gridCol w:w="1157"/>
        <w:gridCol w:w="800"/>
        <w:gridCol w:w="993"/>
        <w:gridCol w:w="2459"/>
        <w:gridCol w:w="2977"/>
        <w:gridCol w:w="1985"/>
        <w:gridCol w:w="2161"/>
      </w:tblGrid>
      <w:tr w:rsidR="00DD3A15" w:rsidRPr="007D03E3" w:rsidTr="004E4B02">
        <w:tc>
          <w:tcPr>
            <w:tcW w:w="5116" w:type="dxa"/>
            <w:gridSpan w:val="6"/>
            <w:tcBorders>
              <w:left w:val="single" w:sz="4" w:space="0" w:color="auto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lastRenderedPageBreak/>
              <w:t>Государственный</w:t>
            </w:r>
            <w:r w:rsidR="00080604" w:rsidRPr="007D03E3">
              <w:rPr>
                <w:sz w:val="18"/>
                <w:szCs w:val="18"/>
              </w:rPr>
              <w:t>, муниципальный</w:t>
            </w:r>
            <w:r w:rsidRPr="007D03E3">
              <w:rPr>
                <w:sz w:val="18"/>
                <w:szCs w:val="18"/>
              </w:rPr>
              <w:t xml:space="preserve"> контракт (договор)</w:t>
            </w:r>
          </w:p>
        </w:tc>
        <w:tc>
          <w:tcPr>
            <w:tcW w:w="2459" w:type="dxa"/>
            <w:vMerge w:val="restart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Предельный размер авансового платежа, установленный законодательством Российской Федерации для данного вида государственного</w:t>
            </w:r>
            <w:r w:rsidR="00080604" w:rsidRPr="007D03E3">
              <w:rPr>
                <w:sz w:val="18"/>
                <w:szCs w:val="18"/>
              </w:rPr>
              <w:t>, муниципального</w:t>
            </w:r>
            <w:r w:rsidRPr="007D03E3">
              <w:rPr>
                <w:sz w:val="18"/>
                <w:szCs w:val="18"/>
              </w:rPr>
              <w:t xml:space="preserve"> контракта (договора), %</w:t>
            </w:r>
          </w:p>
        </w:tc>
        <w:tc>
          <w:tcPr>
            <w:tcW w:w="2977" w:type="dxa"/>
            <w:vMerge w:val="restart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Сумма превышения размера авансового платежа, предусмотренного государственным</w:t>
            </w:r>
            <w:r w:rsidR="00080604" w:rsidRPr="007D03E3">
              <w:rPr>
                <w:sz w:val="18"/>
                <w:szCs w:val="18"/>
              </w:rPr>
              <w:t>, муниципальным</w:t>
            </w:r>
            <w:r w:rsidRPr="007D03E3">
              <w:rPr>
                <w:sz w:val="18"/>
                <w:szCs w:val="18"/>
              </w:rPr>
              <w:t xml:space="preserve"> контрактом (договором), предельного размера авансового платежа, установленного законодательством Российской Федерации</w:t>
            </w:r>
          </w:p>
        </w:tc>
        <w:tc>
          <w:tcPr>
            <w:tcW w:w="1985" w:type="dxa"/>
            <w:vMerge w:val="restart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Фактическая сумма превышения предельного размера авансового платежа, установленного законодательством Российской Федерации</w:t>
            </w:r>
          </w:p>
        </w:tc>
        <w:tc>
          <w:tcPr>
            <w:tcW w:w="2161" w:type="dxa"/>
            <w:vMerge w:val="restart"/>
            <w:tcBorders>
              <w:right w:val="single" w:sz="4" w:space="0" w:color="auto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Примечание</w:t>
            </w:r>
          </w:p>
        </w:tc>
      </w:tr>
      <w:tr w:rsidR="00DD3A15" w:rsidRPr="007D03E3" w:rsidTr="004E4B02">
        <w:tc>
          <w:tcPr>
            <w:tcW w:w="771" w:type="dxa"/>
            <w:vMerge w:val="restart"/>
            <w:tcBorders>
              <w:left w:val="single" w:sz="4" w:space="0" w:color="auto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номер</w:t>
            </w:r>
          </w:p>
        </w:tc>
        <w:tc>
          <w:tcPr>
            <w:tcW w:w="567" w:type="dxa"/>
            <w:vMerge w:val="restart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дата</w:t>
            </w:r>
          </w:p>
        </w:tc>
        <w:tc>
          <w:tcPr>
            <w:tcW w:w="828" w:type="dxa"/>
            <w:vMerge w:val="restart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сумма</w:t>
            </w:r>
          </w:p>
        </w:tc>
        <w:tc>
          <w:tcPr>
            <w:tcW w:w="1957" w:type="dxa"/>
            <w:gridSpan w:val="2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авансовый платеж</w:t>
            </w:r>
          </w:p>
        </w:tc>
        <w:tc>
          <w:tcPr>
            <w:tcW w:w="993" w:type="dxa"/>
            <w:vMerge w:val="restart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предмет</w:t>
            </w:r>
          </w:p>
        </w:tc>
        <w:tc>
          <w:tcPr>
            <w:tcW w:w="2459" w:type="dxa"/>
            <w:vMerge/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  <w:vMerge/>
            <w:tcBorders>
              <w:right w:val="single" w:sz="4" w:space="0" w:color="auto"/>
            </w:tcBorders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</w:tr>
      <w:tr w:rsidR="00DD3A15" w:rsidRPr="007D03E3" w:rsidTr="004E4B02">
        <w:tblPrEx>
          <w:tblBorders>
            <w:left w:val="single" w:sz="4" w:space="0" w:color="auto"/>
          </w:tblBorders>
        </w:tblPrEx>
        <w:tc>
          <w:tcPr>
            <w:tcW w:w="771" w:type="dxa"/>
            <w:vMerge/>
            <w:tcBorders>
              <w:left w:val="single" w:sz="4" w:space="0" w:color="auto"/>
            </w:tcBorders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828" w:type="dxa"/>
            <w:vMerge/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процент от общей суммы</w:t>
            </w:r>
          </w:p>
        </w:tc>
        <w:tc>
          <w:tcPr>
            <w:tcW w:w="800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сумма</w:t>
            </w:r>
          </w:p>
        </w:tc>
        <w:tc>
          <w:tcPr>
            <w:tcW w:w="993" w:type="dxa"/>
            <w:vMerge/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  <w:vMerge/>
            <w:tcBorders>
              <w:right w:val="single" w:sz="4" w:space="0" w:color="auto"/>
            </w:tcBorders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</w:tr>
      <w:tr w:rsidR="00DD3A15" w:rsidRPr="007D03E3" w:rsidTr="004E4B02">
        <w:tc>
          <w:tcPr>
            <w:tcW w:w="771" w:type="dxa"/>
            <w:tcBorders>
              <w:left w:val="single" w:sz="4" w:space="0" w:color="auto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2</w:t>
            </w:r>
          </w:p>
        </w:tc>
        <w:tc>
          <w:tcPr>
            <w:tcW w:w="828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3</w:t>
            </w:r>
          </w:p>
        </w:tc>
        <w:tc>
          <w:tcPr>
            <w:tcW w:w="1157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6</w:t>
            </w:r>
          </w:p>
        </w:tc>
        <w:tc>
          <w:tcPr>
            <w:tcW w:w="2459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8</w:t>
            </w:r>
          </w:p>
        </w:tc>
        <w:tc>
          <w:tcPr>
            <w:tcW w:w="2977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10</w:t>
            </w:r>
          </w:p>
        </w:tc>
        <w:tc>
          <w:tcPr>
            <w:tcW w:w="2161" w:type="dxa"/>
            <w:tcBorders>
              <w:right w:val="single" w:sz="4" w:space="0" w:color="auto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11</w:t>
            </w:r>
          </w:p>
        </w:tc>
      </w:tr>
      <w:tr w:rsidR="00DD3A15" w:rsidRPr="007D03E3" w:rsidTr="004E4B02">
        <w:tblPrEx>
          <w:tblBorders>
            <w:left w:val="single" w:sz="4" w:space="0" w:color="auto"/>
          </w:tblBorders>
        </w:tblPrEx>
        <w:tc>
          <w:tcPr>
            <w:tcW w:w="771" w:type="dxa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28" w:type="dxa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459" w:type="dxa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61" w:type="dxa"/>
            <w:tcBorders>
              <w:right w:val="single" w:sz="4" w:space="0" w:color="auto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4E4B02" w:rsidRDefault="004E4B02"/>
    <w:p w:rsidR="004E4B02" w:rsidRPr="004E4B02" w:rsidRDefault="004E4B02" w:rsidP="004E4B02"/>
    <w:p w:rsidR="004E4B02" w:rsidRDefault="004E4B02" w:rsidP="004E4B02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334"/>
        <w:gridCol w:w="680"/>
      </w:tblGrid>
      <w:tr w:rsidR="004E4B02" w:rsidRPr="00723928" w:rsidTr="007C6FB0"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02" w:rsidRPr="00723928" w:rsidRDefault="004E4B02" w:rsidP="007C6FB0">
            <w:pPr>
              <w:pStyle w:val="ConsPlusNormal"/>
              <w:jc w:val="right"/>
            </w:pPr>
            <w:r>
              <w:t xml:space="preserve">                  </w:t>
            </w:r>
            <w:r w:rsidRPr="00723928">
              <w:t>Номер страницы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</w:tr>
      <w:tr w:rsidR="004E4B02" w:rsidRPr="00723928" w:rsidTr="007C6FB0"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02" w:rsidRPr="00723928" w:rsidRDefault="004E4B02" w:rsidP="007C6FB0">
            <w:pPr>
              <w:pStyle w:val="ConsPlusNormal"/>
              <w:jc w:val="right"/>
            </w:pPr>
            <w:r w:rsidRPr="00723928">
              <w:t>Всего страниц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</w:tr>
    </w:tbl>
    <w:p w:rsidR="004E4B02" w:rsidRPr="00723928" w:rsidRDefault="004E4B02" w:rsidP="004E4B0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340"/>
        <w:gridCol w:w="1474"/>
        <w:gridCol w:w="340"/>
        <w:gridCol w:w="1191"/>
        <w:gridCol w:w="340"/>
        <w:gridCol w:w="1587"/>
      </w:tblGrid>
      <w:tr w:rsidR="004E4B02" w:rsidRPr="00723928" w:rsidTr="007C6FB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02" w:rsidRPr="00723928" w:rsidRDefault="004E4B02" w:rsidP="00F02BBF">
            <w:pPr>
              <w:pStyle w:val="ConsPlusNormal"/>
            </w:pPr>
            <w:r w:rsidRPr="00723928">
              <w:t xml:space="preserve">Руководитель </w:t>
            </w:r>
            <w:r w:rsidR="00F02BBF" w:rsidRPr="00F02BBF">
              <w:rPr>
                <w:rFonts w:asciiTheme="minorHAnsi" w:hAnsiTheme="minorHAnsi" w:cstheme="minorHAnsi"/>
                <w:szCs w:val="22"/>
              </w:rPr>
              <w:t>УФК по Красноярскому краю</w:t>
            </w:r>
            <w:r w:rsidR="00F02BBF" w:rsidRPr="00723928">
              <w:t xml:space="preserve"> </w:t>
            </w:r>
            <w:r w:rsidRPr="00723928">
              <w:t xml:space="preserve">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</w:tr>
      <w:tr w:rsidR="004E4B02" w:rsidRPr="00723928" w:rsidTr="007C6FB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  <w:jc w:val="center"/>
            </w:pPr>
            <w:r w:rsidRPr="00723928"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  <w:jc w:val="center"/>
            </w:pPr>
            <w:r w:rsidRPr="00723928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  <w:jc w:val="center"/>
            </w:pPr>
            <w:r w:rsidRPr="00723928">
              <w:t>(расшифровка подписи)</w:t>
            </w:r>
          </w:p>
        </w:tc>
      </w:tr>
      <w:tr w:rsidR="004E4B02" w:rsidRPr="00723928" w:rsidTr="007C6FB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  <w:r w:rsidRPr="00723928">
              <w:t>"__" 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E4B02" w:rsidRPr="00723928" w:rsidRDefault="004E4B02" w:rsidP="007C6FB0">
            <w:pPr>
              <w:pStyle w:val="ConsPlusNormal"/>
            </w:pPr>
          </w:p>
        </w:tc>
      </w:tr>
    </w:tbl>
    <w:p w:rsidR="004E4B02" w:rsidRDefault="004E4B02" w:rsidP="004E4B02"/>
    <w:p w:rsidR="004E4B02" w:rsidRDefault="004E4B02" w:rsidP="004E4B02"/>
    <w:p w:rsidR="00DD3A15" w:rsidRPr="004E4B02" w:rsidRDefault="00DD3A15" w:rsidP="004E4B02">
      <w:pPr>
        <w:sectPr w:rsidR="00DD3A15" w:rsidRPr="004E4B0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D3A15" w:rsidRPr="00723928" w:rsidRDefault="00DD3A15">
      <w:pPr>
        <w:pStyle w:val="ConsPlusNormal"/>
        <w:jc w:val="right"/>
        <w:outlineLvl w:val="1"/>
      </w:pPr>
      <w:r w:rsidRPr="00723928">
        <w:lastRenderedPageBreak/>
        <w:t>Приложение N 2</w:t>
      </w:r>
    </w:p>
    <w:p w:rsidR="007D03E3" w:rsidRDefault="00DD3A15">
      <w:pPr>
        <w:pStyle w:val="ConsPlusNormal"/>
        <w:jc w:val="right"/>
      </w:pPr>
      <w:r w:rsidRPr="00723928">
        <w:t>к Порядку санкционирования оплаты</w:t>
      </w:r>
      <w:r w:rsidR="007D03E3">
        <w:t xml:space="preserve"> </w:t>
      </w:r>
      <w:r w:rsidRPr="00723928">
        <w:t xml:space="preserve">денежных </w:t>
      </w:r>
    </w:p>
    <w:p w:rsidR="00F02BBF" w:rsidRDefault="00DD3A15">
      <w:pPr>
        <w:pStyle w:val="ConsPlusNormal"/>
        <w:jc w:val="right"/>
      </w:pPr>
      <w:r w:rsidRPr="00723928">
        <w:t>обязательств получателей</w:t>
      </w:r>
      <w:r w:rsidR="007D03E3">
        <w:t xml:space="preserve"> </w:t>
      </w:r>
      <w:r w:rsidRPr="00723928">
        <w:t xml:space="preserve">средств </w:t>
      </w:r>
      <w:r w:rsidR="00660788">
        <w:t>местного</w:t>
      </w:r>
      <w:r w:rsidR="00F02BBF">
        <w:t xml:space="preserve"> </w:t>
      </w:r>
      <w:r w:rsidRPr="00723928">
        <w:t>бюджета</w:t>
      </w:r>
    </w:p>
    <w:p w:rsidR="00F02BBF" w:rsidRDefault="007D03E3">
      <w:pPr>
        <w:pStyle w:val="ConsPlusNormal"/>
        <w:jc w:val="right"/>
      </w:pPr>
      <w:r>
        <w:t xml:space="preserve"> </w:t>
      </w:r>
      <w:r w:rsidR="00DD3A15" w:rsidRPr="00723928">
        <w:t>и оплаты</w:t>
      </w:r>
      <w:r>
        <w:t xml:space="preserve"> </w:t>
      </w:r>
      <w:r w:rsidR="00DD3A15" w:rsidRPr="00723928">
        <w:t>денежных обязательств,</w:t>
      </w:r>
      <w:r w:rsidR="00F02BBF">
        <w:t xml:space="preserve"> </w:t>
      </w:r>
      <w:r w:rsidR="00DD3A15" w:rsidRPr="00723928">
        <w:t>подлежащих</w:t>
      </w:r>
      <w:r>
        <w:t xml:space="preserve"> </w:t>
      </w:r>
      <w:r w:rsidR="00DD3A15" w:rsidRPr="00723928">
        <w:t xml:space="preserve"> </w:t>
      </w:r>
    </w:p>
    <w:p w:rsidR="00F02BBF" w:rsidRDefault="00DD3A15" w:rsidP="00080604">
      <w:pPr>
        <w:pStyle w:val="ConsPlusNormal"/>
        <w:jc w:val="right"/>
      </w:pPr>
      <w:r w:rsidRPr="00723928">
        <w:t>исполнению за счет</w:t>
      </w:r>
      <w:r w:rsidR="007D03E3">
        <w:t xml:space="preserve"> </w:t>
      </w:r>
      <w:r w:rsidRPr="00723928">
        <w:t>бюджетных</w:t>
      </w:r>
      <w:r w:rsidR="007D03E3">
        <w:t xml:space="preserve"> </w:t>
      </w:r>
      <w:r w:rsidRPr="00723928">
        <w:t>ассигнований</w:t>
      </w:r>
      <w:r w:rsidR="00F02BBF">
        <w:t xml:space="preserve"> </w:t>
      </w:r>
      <w:r w:rsidRPr="00723928">
        <w:t xml:space="preserve">по </w:t>
      </w:r>
    </w:p>
    <w:p w:rsidR="007D03E3" w:rsidRDefault="00DD3A15" w:rsidP="00080604">
      <w:pPr>
        <w:pStyle w:val="ConsPlusNormal"/>
        <w:jc w:val="right"/>
      </w:pPr>
      <w:r w:rsidRPr="00723928">
        <w:t>источникам</w:t>
      </w:r>
      <w:r w:rsidR="007D03E3">
        <w:t xml:space="preserve"> </w:t>
      </w:r>
      <w:r w:rsidRPr="00723928">
        <w:t>финансирования</w:t>
      </w:r>
      <w:r w:rsidR="007D03E3">
        <w:t xml:space="preserve"> </w:t>
      </w:r>
      <w:r w:rsidRPr="00723928">
        <w:t xml:space="preserve">дефицита </w:t>
      </w:r>
      <w:r w:rsidR="00660788">
        <w:t>местного</w:t>
      </w:r>
      <w:r w:rsidR="007D03E3">
        <w:t xml:space="preserve"> </w:t>
      </w:r>
      <w:r w:rsidRPr="00723928">
        <w:t>бюджета,</w:t>
      </w:r>
      <w:r w:rsidR="007D03E3">
        <w:t xml:space="preserve"> </w:t>
      </w:r>
    </w:p>
    <w:p w:rsidR="007D03E3" w:rsidRDefault="00DD3A15" w:rsidP="00080604">
      <w:pPr>
        <w:pStyle w:val="ConsPlusNormal"/>
        <w:jc w:val="right"/>
      </w:pPr>
      <w:r w:rsidRPr="00723928">
        <w:t>утвержденному приказом</w:t>
      </w:r>
      <w:r w:rsidR="007D03E3">
        <w:t xml:space="preserve"> </w:t>
      </w:r>
      <w:r w:rsidR="00080604">
        <w:t>финансового</w:t>
      </w:r>
      <w:r w:rsidR="007D03E3">
        <w:t xml:space="preserve"> </w:t>
      </w:r>
      <w:r w:rsidR="00080604">
        <w:t>управления</w:t>
      </w:r>
      <w:r w:rsidR="007D03E3">
        <w:t xml:space="preserve"> </w:t>
      </w:r>
    </w:p>
    <w:p w:rsidR="00080604" w:rsidRPr="00723928" w:rsidRDefault="00080604" w:rsidP="00080604">
      <w:pPr>
        <w:pStyle w:val="ConsPlusNormal"/>
        <w:jc w:val="right"/>
      </w:pPr>
      <w:r>
        <w:t>администрации Идринского района</w:t>
      </w:r>
    </w:p>
    <w:p w:rsidR="00DD3A15" w:rsidRPr="00723928" w:rsidRDefault="00080604" w:rsidP="00080604">
      <w:pPr>
        <w:pStyle w:val="ConsPlusNormal"/>
        <w:jc w:val="right"/>
      </w:pPr>
      <w:r w:rsidRPr="00723928">
        <w:t xml:space="preserve">от </w:t>
      </w:r>
      <w:r w:rsidR="00EB6638">
        <w:t>26</w:t>
      </w:r>
      <w:r w:rsidRPr="00723928">
        <w:t>.</w:t>
      </w:r>
      <w:r>
        <w:t>08</w:t>
      </w:r>
      <w:r w:rsidRPr="00723928">
        <w:t>.202</w:t>
      </w:r>
      <w:r>
        <w:t>1</w:t>
      </w:r>
      <w:r w:rsidRPr="00723928">
        <w:t xml:space="preserve"> </w:t>
      </w:r>
      <w:r>
        <w:t>№</w:t>
      </w:r>
      <w:r w:rsidR="00EB6638">
        <w:t xml:space="preserve"> 18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340"/>
        <w:gridCol w:w="2324"/>
        <w:gridCol w:w="340"/>
        <w:gridCol w:w="1928"/>
        <w:gridCol w:w="1020"/>
        <w:gridCol w:w="58"/>
      </w:tblGrid>
      <w:tr w:rsidR="00DD3A15" w:rsidRPr="007D03E3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bookmarkStart w:id="20" w:name="P299"/>
            <w:bookmarkEnd w:id="20"/>
            <w:r w:rsidRPr="007D03E3">
              <w:rPr>
                <w:sz w:val="18"/>
                <w:szCs w:val="18"/>
              </w:rPr>
              <w:t>УВЕДОМЛЕНИЕ N _____</w:t>
            </w:r>
          </w:p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о нарушении сроков внесения и размеров арендной платы</w:t>
            </w:r>
          </w:p>
        </w:tc>
      </w:tr>
      <w:tr w:rsidR="00DD3A15" w:rsidRPr="007D03E3">
        <w:tblPrEx>
          <w:tblBorders>
            <w:right w:val="single" w:sz="4" w:space="0" w:color="auto"/>
          </w:tblBorders>
        </w:tblPrEx>
        <w:trPr>
          <w:gridAfter w:val="1"/>
          <w:wAfter w:w="58" w:type="dxa"/>
        </w:trPr>
        <w:tc>
          <w:tcPr>
            <w:tcW w:w="572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Коды</w:t>
            </w:r>
          </w:p>
        </w:tc>
      </w:tr>
      <w:tr w:rsidR="00DD3A15" w:rsidRPr="007D03E3">
        <w:tblPrEx>
          <w:tblBorders>
            <w:right w:val="single" w:sz="4" w:space="0" w:color="auto"/>
          </w:tblBorders>
        </w:tblPrEx>
        <w:trPr>
          <w:gridAfter w:val="1"/>
          <w:wAfter w:w="58" w:type="dxa"/>
        </w:trPr>
        <w:tc>
          <w:tcPr>
            <w:tcW w:w="572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jc w:val="right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Форма по КФД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0504714</w:t>
            </w:r>
          </w:p>
        </w:tc>
      </w:tr>
      <w:tr w:rsidR="00DD3A15" w:rsidRPr="007D03E3">
        <w:tblPrEx>
          <w:tblBorders>
            <w:right w:val="single" w:sz="4" w:space="0" w:color="auto"/>
          </w:tblBorders>
        </w:tblPrEx>
        <w:trPr>
          <w:gridAfter w:val="1"/>
          <w:wAfter w:w="58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от "__" 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jc w:val="right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D3A15" w:rsidRPr="007D03E3">
        <w:tblPrEx>
          <w:tblBorders>
            <w:right w:val="single" w:sz="4" w:space="0" w:color="auto"/>
          </w:tblBorders>
        </w:tblPrEx>
        <w:trPr>
          <w:gridAfter w:val="1"/>
          <w:wAfter w:w="58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 xml:space="preserve">Наименование органа </w:t>
            </w:r>
            <w:r w:rsidR="00660788" w:rsidRPr="007D03E3">
              <w:rPr>
                <w:sz w:val="18"/>
                <w:szCs w:val="18"/>
              </w:rPr>
              <w:t>Местного</w:t>
            </w:r>
            <w:r w:rsidRPr="007D03E3">
              <w:rPr>
                <w:sz w:val="18"/>
                <w:szCs w:val="18"/>
              </w:rPr>
              <w:t xml:space="preserve"> казначейства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jc w:val="right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по КОФК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D3A15" w:rsidRPr="007D03E3">
        <w:tblPrEx>
          <w:tblBorders>
            <w:right w:val="single" w:sz="4" w:space="0" w:color="auto"/>
          </w:tblBorders>
        </w:tblPrEx>
        <w:trPr>
          <w:gridAfter w:val="1"/>
          <w:wAfter w:w="58" w:type="dxa"/>
        </w:trPr>
        <w:tc>
          <w:tcPr>
            <w:tcW w:w="30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Главный распорядитель (распорядитель) бюджетных средств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jc w:val="right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Глава по БК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D3A15" w:rsidRPr="007D03E3">
        <w:tblPrEx>
          <w:tblBorders>
            <w:right w:val="single" w:sz="4" w:space="0" w:color="auto"/>
          </w:tblBorders>
        </w:tblPrEx>
        <w:trPr>
          <w:gridAfter w:val="1"/>
          <w:wAfter w:w="58" w:type="dxa"/>
        </w:trPr>
        <w:tc>
          <w:tcPr>
            <w:tcW w:w="306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jc w:val="right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D3A15" w:rsidRPr="007D03E3">
        <w:tblPrEx>
          <w:tblBorders>
            <w:right w:val="single" w:sz="4" w:space="0" w:color="auto"/>
          </w:tblBorders>
        </w:tblPrEx>
        <w:trPr>
          <w:gridAfter w:val="1"/>
          <w:wAfter w:w="58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Получатель бюджетных средств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jc w:val="right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D3A15" w:rsidRPr="007D03E3">
        <w:tblPrEx>
          <w:tblBorders>
            <w:right w:val="single" w:sz="4" w:space="0" w:color="auto"/>
          </w:tblBorders>
        </w:tblPrEx>
        <w:trPr>
          <w:gridAfter w:val="1"/>
          <w:wAfter w:w="58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jc w:val="right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Номер лицевого счета получателя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D3A15" w:rsidRPr="007D03E3">
        <w:tblPrEx>
          <w:tblBorders>
            <w:right w:val="single" w:sz="4" w:space="0" w:color="auto"/>
          </w:tblBorders>
        </w:tblPrEx>
        <w:trPr>
          <w:gridAfter w:val="1"/>
          <w:wAfter w:w="58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D3A15" w:rsidRPr="007D03E3">
        <w:tblPrEx>
          <w:tblBorders>
            <w:right w:val="single" w:sz="4" w:space="0" w:color="auto"/>
          </w:tblBorders>
        </w:tblPrEx>
        <w:trPr>
          <w:gridAfter w:val="1"/>
          <w:wAfter w:w="58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Финансовый орган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D3A15" w:rsidRPr="007D03E3">
        <w:tblPrEx>
          <w:tblBorders>
            <w:right w:val="single" w:sz="4" w:space="0" w:color="auto"/>
          </w:tblBorders>
        </w:tblPrEx>
        <w:trPr>
          <w:gridAfter w:val="1"/>
          <w:wAfter w:w="58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jc w:val="right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Учетный номер обязательства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D3A15" w:rsidRPr="007D03E3">
        <w:tblPrEx>
          <w:tblBorders>
            <w:right w:val="single" w:sz="4" w:space="0" w:color="auto"/>
          </w:tblBorders>
        </w:tblPrEx>
        <w:trPr>
          <w:gridAfter w:val="1"/>
          <w:wAfter w:w="58" w:type="dxa"/>
        </w:trPr>
        <w:tc>
          <w:tcPr>
            <w:tcW w:w="57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Единица измерения: руб. (с точностью до второго десятичного знака)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3A15" w:rsidRPr="007D03E3" w:rsidRDefault="00DD3A15">
            <w:pPr>
              <w:pStyle w:val="ConsPlusNormal"/>
              <w:jc w:val="right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15" w:rsidRPr="007D03E3" w:rsidRDefault="006A74A7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15" w:history="1">
              <w:r w:rsidR="00DD3A15" w:rsidRPr="007D03E3">
                <w:rPr>
                  <w:sz w:val="18"/>
                  <w:szCs w:val="18"/>
                </w:rPr>
                <w:t>383</w:t>
              </w:r>
            </w:hyperlink>
          </w:p>
        </w:tc>
      </w:tr>
    </w:tbl>
    <w:p w:rsidR="00DD3A15" w:rsidRPr="00723928" w:rsidRDefault="00DD3A1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80"/>
        <w:gridCol w:w="1452"/>
        <w:gridCol w:w="1042"/>
        <w:gridCol w:w="233"/>
        <w:gridCol w:w="107"/>
        <w:gridCol w:w="1311"/>
        <w:gridCol w:w="106"/>
        <w:gridCol w:w="340"/>
        <w:gridCol w:w="858"/>
        <w:gridCol w:w="389"/>
        <w:gridCol w:w="340"/>
        <w:gridCol w:w="795"/>
        <w:gridCol w:w="347"/>
        <w:gridCol w:w="390"/>
        <w:gridCol w:w="461"/>
      </w:tblGrid>
      <w:tr w:rsidR="00DD3A15" w:rsidRPr="007D03E3" w:rsidTr="007D03E3">
        <w:tc>
          <w:tcPr>
            <w:tcW w:w="5449" w:type="dxa"/>
            <w:gridSpan w:val="7"/>
            <w:tcBorders>
              <w:left w:val="nil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Договор аренды</w:t>
            </w:r>
          </w:p>
        </w:tc>
        <w:tc>
          <w:tcPr>
            <w:tcW w:w="1304" w:type="dxa"/>
            <w:gridSpan w:val="3"/>
            <w:vMerge w:val="restart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Фактическая дата внесения арендной платы</w:t>
            </w:r>
          </w:p>
        </w:tc>
        <w:tc>
          <w:tcPr>
            <w:tcW w:w="1871" w:type="dxa"/>
            <w:gridSpan w:val="4"/>
            <w:vMerge w:val="restart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Сумма превышения размера арендной платы, установленной договором</w:t>
            </w:r>
          </w:p>
        </w:tc>
        <w:tc>
          <w:tcPr>
            <w:tcW w:w="850" w:type="dxa"/>
            <w:gridSpan w:val="2"/>
            <w:vMerge w:val="restart"/>
            <w:tcBorders>
              <w:right w:val="nil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Примечание</w:t>
            </w:r>
          </w:p>
        </w:tc>
      </w:tr>
      <w:tr w:rsidR="00DD3A15" w:rsidRPr="007D03E3" w:rsidTr="007D03E3">
        <w:tc>
          <w:tcPr>
            <w:tcW w:w="624" w:type="dxa"/>
            <w:tcBorders>
              <w:left w:val="nil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номер</w:t>
            </w:r>
          </w:p>
        </w:tc>
        <w:tc>
          <w:tcPr>
            <w:tcW w:w="680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дата</w:t>
            </w:r>
          </w:p>
        </w:tc>
        <w:tc>
          <w:tcPr>
            <w:tcW w:w="1452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периодичность внесения арендной платы</w:t>
            </w:r>
          </w:p>
        </w:tc>
        <w:tc>
          <w:tcPr>
            <w:tcW w:w="1275" w:type="dxa"/>
            <w:gridSpan w:val="2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срок внесения арендной платы</w:t>
            </w:r>
          </w:p>
        </w:tc>
        <w:tc>
          <w:tcPr>
            <w:tcW w:w="1418" w:type="dxa"/>
            <w:gridSpan w:val="2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сумма арендной платы за период</w:t>
            </w:r>
          </w:p>
        </w:tc>
        <w:tc>
          <w:tcPr>
            <w:tcW w:w="1304" w:type="dxa"/>
            <w:gridSpan w:val="3"/>
            <w:vMerge/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1871" w:type="dxa"/>
            <w:gridSpan w:val="4"/>
            <w:vMerge/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right w:val="nil"/>
            </w:tcBorders>
          </w:tcPr>
          <w:p w:rsidR="00DD3A15" w:rsidRPr="007D03E3" w:rsidRDefault="00DD3A15">
            <w:pPr>
              <w:rPr>
                <w:sz w:val="18"/>
                <w:szCs w:val="18"/>
              </w:rPr>
            </w:pPr>
          </w:p>
        </w:tc>
      </w:tr>
      <w:tr w:rsidR="00DD3A15" w:rsidRPr="007D03E3" w:rsidTr="007D03E3">
        <w:tc>
          <w:tcPr>
            <w:tcW w:w="624" w:type="dxa"/>
            <w:tcBorders>
              <w:left w:val="nil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1</w:t>
            </w:r>
          </w:p>
        </w:tc>
        <w:tc>
          <w:tcPr>
            <w:tcW w:w="680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2</w:t>
            </w:r>
          </w:p>
        </w:tc>
        <w:tc>
          <w:tcPr>
            <w:tcW w:w="1452" w:type="dxa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2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2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5</w:t>
            </w:r>
          </w:p>
        </w:tc>
        <w:tc>
          <w:tcPr>
            <w:tcW w:w="1304" w:type="dxa"/>
            <w:gridSpan w:val="3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6</w:t>
            </w:r>
          </w:p>
        </w:tc>
        <w:tc>
          <w:tcPr>
            <w:tcW w:w="1871" w:type="dxa"/>
            <w:gridSpan w:val="4"/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2"/>
            <w:tcBorders>
              <w:right w:val="nil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8</w:t>
            </w:r>
          </w:p>
        </w:tc>
      </w:tr>
      <w:tr w:rsidR="00DD3A15" w:rsidRPr="007D03E3" w:rsidTr="007D03E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24" w:type="dxa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52" w:type="dxa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04" w:type="dxa"/>
            <w:gridSpan w:val="3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71" w:type="dxa"/>
            <w:gridSpan w:val="4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D3A15" w:rsidRPr="007D03E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</w:trPr>
        <w:tc>
          <w:tcPr>
            <w:tcW w:w="827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jc w:val="right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Номер страницы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D3A15" w:rsidRPr="007D03E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</w:trPr>
        <w:tc>
          <w:tcPr>
            <w:tcW w:w="827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jc w:val="right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Всего страниц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D3A15" w:rsidRPr="007D03E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1" w:type="dxa"/>
        </w:trPr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F02BBF" w:rsidRDefault="00DD3A15" w:rsidP="00F02BBF">
            <w:pPr>
              <w:pStyle w:val="ConsPlusNormal"/>
              <w:rPr>
                <w:szCs w:val="22"/>
              </w:rPr>
            </w:pPr>
            <w:r w:rsidRPr="00F02BBF">
              <w:rPr>
                <w:szCs w:val="22"/>
              </w:rPr>
              <w:t xml:space="preserve">Руководитель </w:t>
            </w:r>
            <w:r w:rsidR="00F02BBF" w:rsidRPr="00F02BBF">
              <w:rPr>
                <w:rFonts w:asciiTheme="minorHAnsi" w:hAnsiTheme="minorHAnsi" w:cstheme="minorHAnsi"/>
                <w:szCs w:val="22"/>
              </w:rPr>
              <w:t>УФК по Красноярскому краю</w:t>
            </w:r>
            <w:r w:rsidR="00F02BBF" w:rsidRPr="00F02BBF">
              <w:rPr>
                <w:szCs w:val="22"/>
              </w:rPr>
              <w:t xml:space="preserve"> </w:t>
            </w:r>
            <w:r w:rsidRPr="00F02BBF">
              <w:rPr>
                <w:szCs w:val="22"/>
              </w:rPr>
              <w:t>(уполномоченное лицо)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D3A15" w:rsidRPr="007D03E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1" w:type="dxa"/>
        </w:trPr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jc w:val="center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(расшифровка подписи)</w:t>
            </w:r>
          </w:p>
        </w:tc>
      </w:tr>
      <w:tr w:rsidR="00DD3A15" w:rsidRPr="007D03E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1" w:type="dxa"/>
        </w:trPr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  <w:r w:rsidRPr="007D03E3">
              <w:rPr>
                <w:sz w:val="18"/>
                <w:szCs w:val="18"/>
              </w:rPr>
              <w:t>"__" _______ 20__ г.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3A15" w:rsidRPr="007D03E3" w:rsidRDefault="00DD3A15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DD3A15" w:rsidRPr="00723928" w:rsidRDefault="00DD3A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C13AF" w:rsidRPr="00723928" w:rsidRDefault="00474D62"/>
    <w:sectPr w:rsidR="00CC13AF" w:rsidRPr="00723928" w:rsidSect="00B549D0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D62" w:rsidRDefault="00474D62" w:rsidP="00AE3020">
      <w:r>
        <w:separator/>
      </w:r>
    </w:p>
  </w:endnote>
  <w:endnote w:type="continuationSeparator" w:id="1">
    <w:p w:rsidR="00474D62" w:rsidRDefault="00474D62" w:rsidP="00AE3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D62" w:rsidRDefault="00474D62" w:rsidP="00AE3020">
      <w:r>
        <w:separator/>
      </w:r>
    </w:p>
  </w:footnote>
  <w:footnote w:type="continuationSeparator" w:id="1">
    <w:p w:rsidR="00474D62" w:rsidRDefault="00474D62" w:rsidP="00AE3020">
      <w:r>
        <w:continuationSeparator/>
      </w:r>
    </w:p>
  </w:footnote>
  <w:footnote w:id="2">
    <w:p w:rsidR="00031E25" w:rsidRPr="00723928" w:rsidRDefault="00031E25" w:rsidP="00031E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&lt;1&gt; </w:t>
      </w:r>
      <w:hyperlink r:id="rId1" w:history="1">
        <w:r w:rsidRPr="00723928">
          <w:rPr>
            <w:rFonts w:ascii="Times New Roman" w:hAnsi="Times New Roman" w:cs="Times New Roman"/>
            <w:sz w:val="28"/>
            <w:szCs w:val="28"/>
          </w:rPr>
          <w:t>Пункт 4 статьи 242.14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(Собрание законодательства Российской Федерации, 1998, N 31, ст. 3823; 2019, N 52, ст. 7797).</w:t>
      </w:r>
    </w:p>
    <w:p w:rsidR="00031E25" w:rsidRDefault="00031E25">
      <w:pPr>
        <w:pStyle w:val="ab"/>
      </w:pPr>
    </w:p>
  </w:footnote>
  <w:footnote w:id="3">
    <w:p w:rsidR="00031E25" w:rsidRPr="00723928" w:rsidRDefault="00031E25" w:rsidP="00031E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&lt;2&gt; </w:t>
      </w:r>
      <w:hyperlink r:id="rId2" w:history="1">
        <w:r w:rsidRPr="00723928">
          <w:rPr>
            <w:rFonts w:ascii="Times New Roman" w:hAnsi="Times New Roman" w:cs="Times New Roman"/>
            <w:sz w:val="28"/>
            <w:szCs w:val="28"/>
          </w:rPr>
          <w:t>Пункт 9 статьи 220.1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(Собрание законодательства Российской Федерации, 1998, N 31, ст. 3823; 2019, N 52, ст. 7797).</w:t>
      </w:r>
    </w:p>
    <w:p w:rsidR="00031E25" w:rsidRDefault="00031E25">
      <w:pPr>
        <w:pStyle w:val="ab"/>
      </w:pPr>
    </w:p>
  </w:footnote>
  <w:footnote w:id="4">
    <w:p w:rsidR="00031E25" w:rsidRDefault="00031E25">
      <w:pPr>
        <w:pStyle w:val="ab"/>
      </w:pPr>
      <w:r>
        <w:rPr>
          <w:rStyle w:val="ad"/>
        </w:rPr>
        <w:footnoteRef/>
      </w:r>
      <w:r>
        <w:t xml:space="preserve"> </w:t>
      </w:r>
      <w:r w:rsidRPr="00723928">
        <w:rPr>
          <w:sz w:val="28"/>
          <w:szCs w:val="28"/>
        </w:rPr>
        <w:t xml:space="preserve">&lt;3&gt; </w:t>
      </w:r>
      <w:hyperlink r:id="rId3" w:history="1">
        <w:r w:rsidRPr="00723928">
          <w:rPr>
            <w:sz w:val="28"/>
            <w:szCs w:val="28"/>
          </w:rPr>
          <w:t>Абзац двадцатый статьи 165</w:t>
        </w:r>
      </w:hyperlink>
      <w:r w:rsidRPr="00723928">
        <w:rPr>
          <w:sz w:val="28"/>
          <w:szCs w:val="28"/>
        </w:rPr>
        <w:t xml:space="preserve"> Бюджетного кодекса Российской Федерации (Собрание законодательства Российской Федерации, 1998, N 31, ст. 3823; 2013, N 52, ст. 6983).</w:t>
      </w:r>
    </w:p>
  </w:footnote>
  <w:footnote w:id="5">
    <w:p w:rsidR="00031E25" w:rsidRPr="00723928" w:rsidRDefault="00031E25" w:rsidP="00031E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&lt;4&gt; </w:t>
      </w:r>
      <w:hyperlink r:id="rId4" w:history="1">
        <w:r w:rsidRPr="00723928">
          <w:rPr>
            <w:rFonts w:ascii="Times New Roman" w:hAnsi="Times New Roman" w:cs="Times New Roman"/>
            <w:sz w:val="28"/>
            <w:szCs w:val="28"/>
          </w:rPr>
          <w:t>Абзац восемнадцатый статьи 165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(Собрание законодательства Российской Федерации, 1998, N 31, ст. 3823; 2017, N 47, ст. 6841).</w:t>
      </w:r>
    </w:p>
    <w:p w:rsidR="00031E25" w:rsidRDefault="00031E25">
      <w:pPr>
        <w:pStyle w:val="ab"/>
      </w:pPr>
    </w:p>
  </w:footnote>
  <w:footnote w:id="6">
    <w:p w:rsidR="00031E25" w:rsidRPr="00723928" w:rsidRDefault="00031E25" w:rsidP="00031E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&lt;5&gt; </w:t>
      </w:r>
      <w:hyperlink r:id="rId5" w:history="1">
        <w:r w:rsidRPr="00723928">
          <w:rPr>
            <w:rFonts w:ascii="Times New Roman" w:hAnsi="Times New Roman" w:cs="Times New Roman"/>
            <w:sz w:val="28"/>
            <w:szCs w:val="28"/>
          </w:rPr>
          <w:t>Пункт 7 статьи 45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(Собрание законодательства Российской Федерации, 1998, N 31, ст. 3824; 2020, N 14, ст. 2032).</w:t>
      </w:r>
    </w:p>
    <w:p w:rsidR="00031E25" w:rsidRDefault="00031E25">
      <w:pPr>
        <w:pStyle w:val="ab"/>
      </w:pPr>
    </w:p>
  </w:footnote>
  <w:footnote w:id="7">
    <w:p w:rsidR="00031E25" w:rsidRPr="00723928" w:rsidRDefault="00031E25" w:rsidP="00031E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&lt;6&gt; </w:t>
      </w:r>
      <w:hyperlink r:id="rId6" w:history="1">
        <w:r w:rsidRPr="00723928">
          <w:rPr>
            <w:rFonts w:ascii="Times New Roman" w:hAnsi="Times New Roman" w:cs="Times New Roman"/>
            <w:sz w:val="28"/>
            <w:szCs w:val="28"/>
          </w:rPr>
          <w:t>Пункт 2 статьи 219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(Собрание законодательства Российской Федерации, 1998, N 31, ст. 3823; 2016, N 1, ст. 26).</w:t>
      </w:r>
    </w:p>
    <w:p w:rsidR="00031E25" w:rsidRDefault="00031E25">
      <w:pPr>
        <w:pStyle w:val="ab"/>
      </w:pPr>
    </w:p>
  </w:footnote>
  <w:footnote w:id="8">
    <w:p w:rsidR="00031E25" w:rsidRPr="00723928" w:rsidRDefault="00031E25" w:rsidP="00031E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&lt;7&gt; </w:t>
      </w:r>
      <w:hyperlink r:id="rId7" w:history="1">
        <w:r w:rsidRPr="00723928">
          <w:rPr>
            <w:rFonts w:ascii="Times New Roman" w:hAnsi="Times New Roman" w:cs="Times New Roman"/>
            <w:sz w:val="28"/>
            <w:szCs w:val="28"/>
          </w:rPr>
          <w:t>Пункт 2 статьи 18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(Собрание законодательства Российской Федерации, 1998, N 31, ст. 3823; 2013, N 19, ст. 2331).</w:t>
      </w:r>
    </w:p>
    <w:p w:rsidR="00031E25" w:rsidRDefault="00031E25">
      <w:pPr>
        <w:pStyle w:val="ab"/>
      </w:pPr>
    </w:p>
  </w:footnote>
  <w:footnote w:id="9">
    <w:p w:rsidR="00031E25" w:rsidRPr="00723928" w:rsidRDefault="00031E25" w:rsidP="00031E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&lt;8&gt; </w:t>
      </w:r>
      <w:hyperlink r:id="rId8" w:history="1">
        <w:r w:rsidRPr="00723928">
          <w:rPr>
            <w:rFonts w:ascii="Times New Roman" w:hAnsi="Times New Roman" w:cs="Times New Roman"/>
            <w:sz w:val="28"/>
            <w:szCs w:val="28"/>
          </w:rPr>
          <w:t>Пункт 16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Правил ведения реестра контрактов, заключенных заказчиками, и </w:t>
      </w:r>
      <w:hyperlink r:id="rId9" w:history="1">
        <w:r w:rsidRPr="00723928">
          <w:rPr>
            <w:rFonts w:ascii="Times New Roman" w:hAnsi="Times New Roman" w:cs="Times New Roman"/>
            <w:sz w:val="28"/>
            <w:szCs w:val="28"/>
          </w:rPr>
          <w:t>пункт 15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Правил ведения реестра контрактов, содержащий сведения, составляющие государственную тайну, утвержденных постановлением Правительства Российской Федерации от 28 ноября 2013 г. N 1084 (Собрание законодательства Российской Федерации, 2013, N 49, ст. 6427; 2020, N 33, ст. 5393).</w:t>
      </w:r>
    </w:p>
    <w:p w:rsidR="00031E25" w:rsidRDefault="00031E25">
      <w:pPr>
        <w:pStyle w:val="ab"/>
      </w:pPr>
    </w:p>
  </w:footnote>
  <w:footnote w:id="10">
    <w:p w:rsidR="00031E25" w:rsidRPr="00723928" w:rsidRDefault="00031E25" w:rsidP="00031E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&lt;9&gt; </w:t>
      </w:r>
      <w:hyperlink r:id="rId10" w:history="1">
        <w:r w:rsidRPr="00723928">
          <w:rPr>
            <w:rFonts w:ascii="Times New Roman" w:hAnsi="Times New Roman" w:cs="Times New Roman"/>
            <w:sz w:val="28"/>
            <w:szCs w:val="28"/>
          </w:rPr>
          <w:t>Пункт 9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Положения о формировании государственного задания на оказание государственных услуг (выполнение работ) в отношении федеральных государственных учреждений и финансовом обеспечении выполнения государственного задания, утвержденного постановлением Правительства Российской Федерации от 26 июня 2015 г. N 640 (Собрание законодательства Российской Федерации, 2015, N 28, ст. 4226; 2017, N 51, ст. 7812).</w:t>
      </w:r>
    </w:p>
    <w:p w:rsidR="00031E25" w:rsidRDefault="00031E25">
      <w:pPr>
        <w:pStyle w:val="ab"/>
      </w:pPr>
    </w:p>
  </w:footnote>
  <w:footnote w:id="11">
    <w:p w:rsidR="00031E25" w:rsidRPr="00723928" w:rsidRDefault="00031E25" w:rsidP="00031E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&lt;10&gt; </w:t>
      </w:r>
      <w:hyperlink r:id="rId11" w:history="1">
        <w:r w:rsidRPr="00723928">
          <w:rPr>
            <w:rFonts w:ascii="Times New Roman" w:hAnsi="Times New Roman" w:cs="Times New Roman"/>
            <w:sz w:val="28"/>
            <w:szCs w:val="28"/>
          </w:rPr>
          <w:t>Пункт 5 статьи 242.7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(Собрание законодательства Российской Федерации, 1998, N 31, ст. 3823; 2019, N 52, ст. 7797).</w:t>
      </w:r>
    </w:p>
    <w:p w:rsidR="00031E25" w:rsidRPr="00723928" w:rsidRDefault="00031E25" w:rsidP="00031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1E25" w:rsidRDefault="00031E25">
      <w:pPr>
        <w:pStyle w:val="ab"/>
      </w:pPr>
    </w:p>
  </w:footnote>
  <w:footnote w:id="12">
    <w:p w:rsidR="00031E25" w:rsidRPr="00723928" w:rsidRDefault="00031E25" w:rsidP="00031E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r w:rsidRPr="00723928">
        <w:rPr>
          <w:rFonts w:ascii="Times New Roman" w:hAnsi="Times New Roman" w:cs="Times New Roman"/>
          <w:sz w:val="28"/>
          <w:szCs w:val="28"/>
        </w:rPr>
        <w:t xml:space="preserve">&lt;11&gt; </w:t>
      </w:r>
      <w:hyperlink r:id="rId12" w:history="1">
        <w:r w:rsidRPr="00723928">
          <w:rPr>
            <w:rFonts w:ascii="Times New Roman" w:hAnsi="Times New Roman" w:cs="Times New Roman"/>
            <w:sz w:val="28"/>
            <w:szCs w:val="28"/>
          </w:rPr>
          <w:t>Абзац сорок шестой статьи 165</w:t>
        </w:r>
      </w:hyperlink>
      <w:r w:rsidRPr="0072392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(Собрание законодательства Российской Федерации, 1998, N 31, ст. 3823; 2019, N 52, ст. 7797).</w:t>
      </w:r>
    </w:p>
    <w:p w:rsidR="00031E25" w:rsidRDefault="00031E25">
      <w:pPr>
        <w:pStyle w:val="ab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A15"/>
    <w:rsid w:val="00031E25"/>
    <w:rsid w:val="00047A1B"/>
    <w:rsid w:val="00080604"/>
    <w:rsid w:val="00080951"/>
    <w:rsid w:val="000A3017"/>
    <w:rsid w:val="00156794"/>
    <w:rsid w:val="001F35D4"/>
    <w:rsid w:val="00474D62"/>
    <w:rsid w:val="00477332"/>
    <w:rsid w:val="004E4B02"/>
    <w:rsid w:val="00622051"/>
    <w:rsid w:val="006237C8"/>
    <w:rsid w:val="00660788"/>
    <w:rsid w:val="00682CA9"/>
    <w:rsid w:val="00685740"/>
    <w:rsid w:val="006A67F4"/>
    <w:rsid w:val="006A74A7"/>
    <w:rsid w:val="0070742B"/>
    <w:rsid w:val="00723928"/>
    <w:rsid w:val="0078464F"/>
    <w:rsid w:val="007D03E3"/>
    <w:rsid w:val="007E50D4"/>
    <w:rsid w:val="00836B6B"/>
    <w:rsid w:val="00867C49"/>
    <w:rsid w:val="00973AEC"/>
    <w:rsid w:val="009E04F7"/>
    <w:rsid w:val="00A56FEC"/>
    <w:rsid w:val="00A938FF"/>
    <w:rsid w:val="00AE3020"/>
    <w:rsid w:val="00B5249C"/>
    <w:rsid w:val="00B721B8"/>
    <w:rsid w:val="00C1718E"/>
    <w:rsid w:val="00DA27E5"/>
    <w:rsid w:val="00DD3A15"/>
    <w:rsid w:val="00E52C96"/>
    <w:rsid w:val="00EB6638"/>
    <w:rsid w:val="00F02BBF"/>
    <w:rsid w:val="00F7160E"/>
    <w:rsid w:val="00FB7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A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A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D3A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rsid w:val="00B5249C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character" w:styleId="a3">
    <w:name w:val="Hyperlink"/>
    <w:rsid w:val="00B5249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E30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E30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E30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30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031E25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031E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031E25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031E25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031E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031E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BA44C945BF20BEF1E0C84E6FF0AF9DC2F34772EA72CBB2D74E47FB6C818317D3151615FDA2187087B2ABABB4845751D4A9BC51FFA7UAlBI" TargetMode="External"/><Relationship Id="rId13" Type="http://schemas.openxmlformats.org/officeDocument/2006/relationships/hyperlink" Target="consultantplus://offline/ref=67BA44C945BF20BEF1E0C84E6FF0AF9DC2FF4670EB70CBB2D74E47FB6C818317C1154E1AF8AF047BDBFDEDFEBBU8l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7BA44C945BF20BEF1E0C84E6FF0AF9DC2F34772EA72CBB2D74E47FB6C818317D3151614FEAE1E7087B2ABABB4845751D4A9BC51FFA7UAlBI" TargetMode="External"/><Relationship Id="rId12" Type="http://schemas.openxmlformats.org/officeDocument/2006/relationships/hyperlink" Target="http://www.idra-rayon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7BA44C945BF20BEF1E0C84E6FF0AF9DC3F34A76E076CBB2D74E47FB6C818317C1154E1AF8AF047BDBFDEDFEBBU8l5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7BA44C945BF20BEF1E0C84E6FF0AF9DC2FC4978E175CBB2D74E47FB6C818317D3151616F8AA137AD5E8BBAFFDD15E4FD0BFA25BE1A7AAA3U7l5I" TargetMode="External"/><Relationship Id="rId10" Type="http://schemas.openxmlformats.org/officeDocument/2006/relationships/hyperlink" Target="consultantplus://offline/ref=67BA44C945BF20BEF1E0C84E6FF0AF9DC2F34772EA72CBB2D74E47FB6C818317D3151616F8A8197DD0E8BBAFFDD15E4FD0BFA25BE1A7AAA3U7l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7BA44C945BF20BEF1E0C84E6FF0AF9DC2F34772EA72CBB2D74E47FB6C818317D3151613F1AA197087B2ABABB4845751D4A9BC51FFA7UAlBI" TargetMode="External"/><Relationship Id="rId14" Type="http://schemas.openxmlformats.org/officeDocument/2006/relationships/hyperlink" Target="consultantplus://offline/ref=67BA44C945BF20BEF1E0C84E6FF0AF9DC2FC4978E175CBB2D74E47FB6C818317D3151616F8AA137AD5E8BBAFFDD15E4FD0BFA25BE1A7AAA3U7l5I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BA44C945BF20BEF1E0C84E6FF0AF9DC2FC4A78E875CBB2D74E47FB6C818317D3151616F8AB1A7DD3E8BBAFFDD15E4FD0BFA25BE1A7AAA3U7l5I" TargetMode="External"/><Relationship Id="rId3" Type="http://schemas.openxmlformats.org/officeDocument/2006/relationships/hyperlink" Target="consultantplus://offline/ref=67BA44C945BF20BEF1E0C84E6FF0AF9DC2F34772EA72CBB2D74E47FB6C818317D3151614F0AB1B7087B2ABABB4845751D4A9BC51FFA7UAlBI" TargetMode="External"/><Relationship Id="rId7" Type="http://schemas.openxmlformats.org/officeDocument/2006/relationships/hyperlink" Target="consultantplus://offline/ref=67BA44C945BF20BEF1E0C84E6FF0AF9DC2F34772EA72CBB2D74E47FB6C818317D3151616F8A81A78D6E8BBAFFDD15E4FD0BFA25BE1A7AAA3U7l5I" TargetMode="External"/><Relationship Id="rId12" Type="http://schemas.openxmlformats.org/officeDocument/2006/relationships/hyperlink" Target="consultantplus://offline/ref=67BA44C945BF20BEF1E0C84E6FF0AF9DC2FF4A78E177CBB2D74E47FB6C818317D3151614F1AF137087B2ABABB4845751D4A9BC51FFA7UAlBI" TargetMode="External"/><Relationship Id="rId2" Type="http://schemas.openxmlformats.org/officeDocument/2006/relationships/hyperlink" Target="consultantplus://offline/ref=67BA44C945BF20BEF1E0C84E6FF0AF9DC2F34772EA72CBB2D74E47FB6C818317D3151611F8A91F7087B2ABABB4845751D4A9BC51FFA7UAlBI" TargetMode="External"/><Relationship Id="rId1" Type="http://schemas.openxmlformats.org/officeDocument/2006/relationships/hyperlink" Target="consultantplus://offline/ref=67BA44C945BF20BEF1E0C84E6FF0AF9DC2F34772EA72CBB2D74E47FB6C818317D3151611F9A3197087B2ABABB4845751D4A9BC51FFA7UAlBI" TargetMode="External"/><Relationship Id="rId6" Type="http://schemas.openxmlformats.org/officeDocument/2006/relationships/hyperlink" Target="consultantplus://offline/ref=67BA44C945BF20BEF1E0C84E6FF0AF9DC2F34772EA72CBB2D74E47FB6C818317D3151615FDA3137087B2ABABB4845751D4A9BC51FFA7UAlBI" TargetMode="External"/><Relationship Id="rId11" Type="http://schemas.openxmlformats.org/officeDocument/2006/relationships/hyperlink" Target="consultantplus://offline/ref=67BA44C945BF20BEF1E0C84E6FF0AF9DC2F34772EA72CBB2D74E47FB6C818317D3151611F9A8187087B2ABABB4845751D4A9BC51FFA7UAlBI" TargetMode="External"/><Relationship Id="rId5" Type="http://schemas.openxmlformats.org/officeDocument/2006/relationships/hyperlink" Target="consultantplus://offline/ref=67BA44C945BF20BEF1E0C84E6FF0AF9DC2FC4D72E179CBB2D74E47FB6C818317D3151613FDA21B7087B2ABABB4845751D4A9BC51FFA7UAlBI" TargetMode="External"/><Relationship Id="rId10" Type="http://schemas.openxmlformats.org/officeDocument/2006/relationships/hyperlink" Target="consultantplus://offline/ref=67BA44C945BF20BEF1E0C84E6FF0AF9DC2F34B74EE74CBB2D74E47FB6C818317D3151612F3FF4B3F86EEEFFAA7845B51D6A1A0U5l2I" TargetMode="External"/><Relationship Id="rId4" Type="http://schemas.openxmlformats.org/officeDocument/2006/relationships/hyperlink" Target="consultantplus://offline/ref=67BA44C945BF20BEF1E0C84E6FF0AF9DC2F34772EA72CBB2D74E47FB6C818317D3151613FEA91E7087B2ABABB4845751D4A9BC51FFA7UAlBI" TargetMode="External"/><Relationship Id="rId9" Type="http://schemas.openxmlformats.org/officeDocument/2006/relationships/hyperlink" Target="consultantplus://offline/ref=67BA44C945BF20BEF1E0C84E6FF0AF9DC2FC4A78E875CBB2D74E47FB6C818317D3151616F8AB1B7AD3E8BBAFFDD15E4FD0BFA25BE1A7AAA3U7l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AF0D4-F791-4EF4-97FB-17FFA46F4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14</Pages>
  <Words>4007</Words>
  <Characters>22841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Алексейчик Мария</dc:creator>
  <cp:lastModifiedBy>Алексейчик Мария</cp:lastModifiedBy>
  <cp:revision>20</cp:revision>
  <cp:lastPrinted>2021-08-12T06:18:00Z</cp:lastPrinted>
  <dcterms:created xsi:type="dcterms:W3CDTF">2021-08-04T08:36:00Z</dcterms:created>
  <dcterms:modified xsi:type="dcterms:W3CDTF">2021-08-26T08:28:00Z</dcterms:modified>
</cp:coreProperties>
</file>