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7A9" w:rsidRPr="000B67A9" w:rsidRDefault="000B67A9" w:rsidP="000B67A9">
      <w:pPr>
        <w:jc w:val="center"/>
        <w:rPr>
          <w:b/>
          <w:sz w:val="40"/>
          <w:szCs w:val="40"/>
        </w:rPr>
      </w:pPr>
      <w:r w:rsidRPr="000B67A9">
        <w:rPr>
          <w:b/>
          <w:sz w:val="40"/>
          <w:szCs w:val="40"/>
        </w:rPr>
        <w:t xml:space="preserve">Прогноз </w:t>
      </w:r>
    </w:p>
    <w:p w:rsidR="000B67A9" w:rsidRDefault="000B67A9" w:rsidP="000B67A9">
      <w:pPr>
        <w:jc w:val="center"/>
        <w:rPr>
          <w:b/>
          <w:sz w:val="40"/>
          <w:szCs w:val="40"/>
        </w:rPr>
      </w:pPr>
      <w:r w:rsidRPr="000B67A9">
        <w:rPr>
          <w:b/>
          <w:sz w:val="40"/>
          <w:szCs w:val="40"/>
        </w:rPr>
        <w:t xml:space="preserve">социально-экономического развития </w:t>
      </w:r>
      <w:proofErr w:type="spellStart"/>
      <w:r w:rsidRPr="000B67A9">
        <w:rPr>
          <w:b/>
          <w:sz w:val="40"/>
          <w:szCs w:val="40"/>
        </w:rPr>
        <w:t>Идринского</w:t>
      </w:r>
      <w:proofErr w:type="spellEnd"/>
      <w:r w:rsidRPr="000B67A9">
        <w:rPr>
          <w:b/>
          <w:sz w:val="40"/>
          <w:szCs w:val="40"/>
        </w:rPr>
        <w:t xml:space="preserve"> района на 2016 год</w:t>
      </w:r>
      <w:r w:rsidRPr="000B67A9">
        <w:rPr>
          <w:b/>
          <w:sz w:val="40"/>
          <w:szCs w:val="40"/>
        </w:rPr>
        <w:br/>
        <w:t>и плановый период 2017–2018 годов</w:t>
      </w:r>
    </w:p>
    <w:p w:rsidR="000B67A9" w:rsidRPr="000B67A9" w:rsidRDefault="000B67A9" w:rsidP="000B67A9">
      <w:pPr>
        <w:jc w:val="center"/>
        <w:rPr>
          <w:b/>
          <w:sz w:val="40"/>
          <w:szCs w:val="40"/>
        </w:rPr>
      </w:pPr>
    </w:p>
    <w:p w:rsidR="0090355F" w:rsidRDefault="00E74478" w:rsidP="004928D9">
      <w:pPr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28D9">
        <w:rPr>
          <w:b/>
          <w:bCs/>
          <w:color w:val="000000"/>
          <w:sz w:val="28"/>
          <w:szCs w:val="28"/>
        </w:rPr>
        <w:t xml:space="preserve">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90355F" w:rsidRDefault="00E74478">
      <w:pPr>
        <w:widowControl/>
        <w:spacing w:line="360" w:lineRule="auto"/>
        <w:ind w:firstLine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Оборот  организаций и объем отгруженных товаров представлен в районе следующими видами деятельности</w:t>
      </w:r>
      <w:r>
        <w:rPr>
          <w:rFonts w:ascii="Times New Roman CYR" w:hAnsi="Times New Roman CYR" w:cs="Times New Roman CYR"/>
          <w:sz w:val="28"/>
          <w:szCs w:val="28"/>
        </w:rPr>
        <w:tab/>
        <w:t>: РАЗДЕЛ А-01: Сельское хозяйство, охота и предоставление услуг в этих областях; РАЗДЕЛ А-02: Лесное хозяйство и предоставление услуг в этой области; РАЗДЕЛ D: Обрабатывающие производства, который включает - Подраздел DA: Производство пищевых продуктов, включая напитки, и табака и Подраздел DD: Обработка древесины и производство изделий из дерева; РАЗДЕЛ E: Производство и распределение электроэнергии, газа и воды; РАЗДЕЛ G: Оптовая и розничная торговля; ремонт автотранспортных средств, мотоциклов, бытовых изделий и предметов личного пользования; РАЗДЕЛ I: Транспорт и связь, а также бюджетные виды деятельности</w:t>
      </w:r>
      <w:r w:rsidR="005001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- образование, здравоохранение, предоставление прочих коммунальных, социальных и персональных услуг.</w:t>
      </w:r>
    </w:p>
    <w:p w:rsidR="0090355F" w:rsidRDefault="00E74478">
      <w:pPr>
        <w:widowControl/>
        <w:spacing w:line="360" w:lineRule="auto"/>
        <w:ind w:firstLine="42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РАЗДЕЛ А-02:</w:t>
      </w:r>
      <w:r w:rsidR="0050017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Лесное хозяйство и предоставление услуг в этой области;</w:t>
      </w:r>
    </w:p>
    <w:p w:rsidR="00500175" w:rsidRDefault="00E74478">
      <w:pPr>
        <w:widowControl/>
        <w:spacing w:line="360" w:lineRule="auto"/>
        <w:ind w:firstLine="60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Лесозаг</w:t>
      </w:r>
      <w:r w:rsidR="00500175">
        <w:rPr>
          <w:rFonts w:ascii="Times New Roman CYR" w:hAnsi="Times New Roman CYR" w:cs="Times New Roman CYR"/>
          <w:i/>
          <w:iCs/>
          <w:sz w:val="28"/>
          <w:szCs w:val="28"/>
        </w:rPr>
        <w:t>о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товки: </w:t>
      </w:r>
      <w:r>
        <w:rPr>
          <w:rFonts w:ascii="Times New Roman CYR" w:hAnsi="Times New Roman CYR" w:cs="Times New Roman CYR"/>
          <w:sz w:val="28"/>
          <w:szCs w:val="28"/>
        </w:rPr>
        <w:t>на территории района осуществляет предприятие ООО “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лес” (на базе предприятия ООО Тайга)</w:t>
      </w:r>
      <w:r w:rsidR="0050017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которое в 2014 году заготовило и вывезло древесины  12,025 тыс.куб. м.</w:t>
      </w:r>
      <w:r w:rsidR="0050017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что ниже уровня 2013  года на 30 %</w:t>
      </w:r>
      <w:r w:rsidR="0050017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связи с реорганизацией предприятия. </w:t>
      </w:r>
    </w:p>
    <w:p w:rsidR="00500175" w:rsidRDefault="00E74478">
      <w:pPr>
        <w:widowControl/>
        <w:spacing w:line="360" w:lineRule="auto"/>
        <w:ind w:firstLine="60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Отгрузка по предприятию ООО </w:t>
      </w:r>
      <w:r w:rsidR="00500175"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лес</w:t>
      </w:r>
      <w:r w:rsidR="00500175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составила в 2014 году </w:t>
      </w:r>
      <w:r w:rsidR="00500175"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45168 тыс.руб.</w:t>
      </w:r>
      <w:r w:rsidR="0050017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перспективе увеличение объ</w:t>
      </w:r>
      <w:r w:rsidR="00500175">
        <w:rPr>
          <w:rFonts w:ascii="Times New Roman CYR" w:hAnsi="Times New Roman CYR" w:cs="Times New Roman CYR"/>
          <w:sz w:val="28"/>
          <w:szCs w:val="28"/>
        </w:rPr>
        <w:t>ё</w:t>
      </w:r>
      <w:r>
        <w:rPr>
          <w:rFonts w:ascii="Times New Roman CYR" w:hAnsi="Times New Roman CYR" w:cs="Times New Roman CYR"/>
          <w:sz w:val="28"/>
          <w:szCs w:val="28"/>
        </w:rPr>
        <w:t xml:space="preserve">мов производства не планируется. </w:t>
      </w:r>
    </w:p>
    <w:p w:rsidR="00500175" w:rsidRDefault="00E74478">
      <w:pPr>
        <w:widowControl/>
        <w:spacing w:line="360" w:lineRule="auto"/>
        <w:ind w:firstLine="60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Кроме данного</w:t>
      </w:r>
      <w:r w:rsidR="00500175">
        <w:rPr>
          <w:rFonts w:ascii="Times New Roman CYR" w:hAnsi="Times New Roman CYR" w:cs="Times New Roman CYR"/>
          <w:sz w:val="28"/>
          <w:szCs w:val="28"/>
        </w:rPr>
        <w:t xml:space="preserve"> предприятия,</w:t>
      </w:r>
      <w:r>
        <w:rPr>
          <w:rFonts w:ascii="Times New Roman CYR" w:hAnsi="Times New Roman CYR" w:cs="Times New Roman CYR"/>
          <w:sz w:val="28"/>
          <w:szCs w:val="28"/>
        </w:rPr>
        <w:t xml:space="preserve"> на территории района осуществля</w:t>
      </w:r>
      <w:r w:rsidR="00500175">
        <w:rPr>
          <w:rFonts w:ascii="Times New Roman CYR" w:hAnsi="Times New Roman CYR" w:cs="Times New Roman CYR"/>
          <w:sz w:val="28"/>
          <w:szCs w:val="28"/>
        </w:rPr>
        <w:t>ют</w:t>
      </w:r>
      <w:r>
        <w:rPr>
          <w:rFonts w:ascii="Times New Roman CYR" w:hAnsi="Times New Roman CYR" w:cs="Times New Roman CYR"/>
          <w:sz w:val="28"/>
          <w:szCs w:val="28"/>
        </w:rPr>
        <w:t xml:space="preserve"> деятельность по заготовке и вывозке древесины</w:t>
      </w:r>
      <w:r w:rsidR="00500175">
        <w:rPr>
          <w:rFonts w:ascii="Times New Roman CYR" w:hAnsi="Times New Roman CYR" w:cs="Times New Roman CYR"/>
          <w:sz w:val="28"/>
          <w:szCs w:val="28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 ИП Дубов В.Ю., который 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2014 году заготовил и вывез 15,737 тыс.куб. метров древесины, </w:t>
      </w:r>
      <w:r w:rsidR="00500175">
        <w:rPr>
          <w:rFonts w:ascii="Times New Roman CYR" w:hAnsi="Times New Roman CYR" w:cs="Times New Roman CYR"/>
          <w:sz w:val="28"/>
          <w:szCs w:val="28"/>
        </w:rPr>
        <w:t xml:space="preserve"> И</w:t>
      </w:r>
      <w:r>
        <w:rPr>
          <w:rFonts w:ascii="Times New Roman CYR" w:hAnsi="Times New Roman CYR" w:cs="Times New Roman CYR"/>
          <w:sz w:val="28"/>
          <w:szCs w:val="28"/>
        </w:rPr>
        <w:t>П Бусыгин Н.Н.</w:t>
      </w:r>
      <w:r w:rsidR="0050017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который в 2014 году заготовил и вывез 3 тыс.куб. метров древесины</w:t>
      </w:r>
      <w:r w:rsidR="00500175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40C26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целом объем отгруженных товаров собственного производства, выполненных работ и услуг собственными силами по разделу </w:t>
      </w:r>
      <w:r w:rsidR="00500175">
        <w:rPr>
          <w:rFonts w:ascii="Times New Roman CYR" w:hAnsi="Times New Roman CYR" w:cs="Times New Roman CYR"/>
          <w:sz w:val="28"/>
          <w:szCs w:val="28"/>
        </w:rPr>
        <w:t>«Л</w:t>
      </w:r>
      <w:r>
        <w:rPr>
          <w:rFonts w:ascii="Times New Roman CYR" w:hAnsi="Times New Roman CYR" w:cs="Times New Roman CYR"/>
          <w:sz w:val="28"/>
          <w:szCs w:val="28"/>
        </w:rPr>
        <w:t>есное хозяйство и предоставление услуг в этой области</w:t>
      </w:r>
      <w:r w:rsidR="00500175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составил в 2014 году 70125 тыс.руб.</w:t>
      </w:r>
      <w:r w:rsidR="00500175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к 2018 году по 1 варианту 10656,3 тыс.</w:t>
      </w:r>
      <w:r w:rsidR="00140C2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</w:t>
      </w:r>
      <w:r w:rsidR="00140C26">
        <w:rPr>
          <w:rFonts w:ascii="Times New Roman CYR" w:hAnsi="Times New Roman CYR" w:cs="Times New Roman CYR"/>
          <w:sz w:val="28"/>
          <w:szCs w:val="28"/>
        </w:rPr>
        <w:t xml:space="preserve">.,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40C26">
        <w:rPr>
          <w:rFonts w:ascii="Times New Roman CYR" w:hAnsi="Times New Roman CYR" w:cs="Times New Roman CYR"/>
          <w:sz w:val="28"/>
          <w:szCs w:val="28"/>
        </w:rPr>
        <w:t>п</w:t>
      </w:r>
      <w:r>
        <w:rPr>
          <w:rFonts w:ascii="Times New Roman CYR" w:hAnsi="Times New Roman CYR" w:cs="Times New Roman CYR"/>
          <w:sz w:val="28"/>
          <w:szCs w:val="28"/>
        </w:rPr>
        <w:t>о 2 варианту 102104 тыс.руб.</w:t>
      </w:r>
    </w:p>
    <w:p w:rsidR="0090355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Основн</w:t>
      </w:r>
      <w:r w:rsidR="00140C26">
        <w:rPr>
          <w:rFonts w:ascii="Times New Roman CYR" w:hAnsi="Times New Roman CYR" w:cs="Times New Roman CYR"/>
          <w:sz w:val="28"/>
          <w:szCs w:val="28"/>
        </w:rPr>
        <w:t>ыми</w:t>
      </w:r>
      <w:r>
        <w:rPr>
          <w:rFonts w:ascii="Times New Roman CYR" w:hAnsi="Times New Roman CYR" w:cs="Times New Roman CYR"/>
          <w:sz w:val="28"/>
          <w:szCs w:val="28"/>
        </w:rPr>
        <w:t xml:space="preserve"> вид</w:t>
      </w:r>
      <w:r w:rsidR="00140C26">
        <w:rPr>
          <w:rFonts w:ascii="Times New Roman CYR" w:hAnsi="Times New Roman CYR" w:cs="Times New Roman CYR"/>
          <w:sz w:val="28"/>
          <w:szCs w:val="28"/>
        </w:rPr>
        <w:t>ами</w:t>
      </w:r>
      <w:r>
        <w:rPr>
          <w:rFonts w:ascii="Times New Roman CYR" w:hAnsi="Times New Roman CYR" w:cs="Times New Roman CYR"/>
          <w:sz w:val="28"/>
          <w:szCs w:val="28"/>
        </w:rPr>
        <w:t xml:space="preserve"> продукции</w:t>
      </w:r>
      <w:r w:rsidR="00140C2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натуральном выражении</w:t>
      </w:r>
      <w:r w:rsidR="00140C2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по лесному хозяйству</w:t>
      </w:r>
      <w:r w:rsidR="00140C26">
        <w:rPr>
          <w:rFonts w:ascii="Times New Roman CYR" w:hAnsi="Times New Roman CYR" w:cs="Times New Roman CYR"/>
          <w:sz w:val="28"/>
          <w:szCs w:val="28"/>
        </w:rPr>
        <w:t>, являются</w:t>
      </w:r>
      <w:r>
        <w:rPr>
          <w:rFonts w:ascii="Times New Roman CYR" w:hAnsi="Times New Roman CYR" w:cs="Times New Roman CYR"/>
          <w:sz w:val="28"/>
          <w:szCs w:val="28"/>
        </w:rPr>
        <w:t xml:space="preserve"> заготовка древесины</w:t>
      </w:r>
      <w:r w:rsidR="00140C26">
        <w:rPr>
          <w:rFonts w:ascii="Times New Roman CYR" w:hAnsi="Times New Roman CYR" w:cs="Times New Roman CYR"/>
          <w:sz w:val="28"/>
          <w:szCs w:val="28"/>
        </w:rPr>
        <w:t xml:space="preserve"> и производство пиломатериалов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  <w:sectPr w:rsidR="000B67A9" w:rsidSect="0090355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90355F" w:rsidRDefault="00E74478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Таблица 1</w:t>
      </w:r>
    </w:p>
    <w:p w:rsidR="0090355F" w:rsidRDefault="00E74478">
      <w:pPr>
        <w:widowControl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по разделу  A-02: Лесное хозяйство и предоставление услуг в этой области</w:t>
      </w:r>
    </w:p>
    <w:tbl>
      <w:tblPr>
        <w:tblW w:w="13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9"/>
        <w:gridCol w:w="999"/>
        <w:gridCol w:w="999"/>
        <w:gridCol w:w="1149"/>
        <w:gridCol w:w="1251"/>
        <w:gridCol w:w="1083"/>
        <w:gridCol w:w="1134"/>
        <w:gridCol w:w="992"/>
        <w:gridCol w:w="1134"/>
        <w:gridCol w:w="1251"/>
      </w:tblGrid>
      <w:tr w:rsidR="000B67A9" w:rsidTr="000B67A9">
        <w:trPr>
          <w:trHeight w:val="1812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0B67A9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2013 год</w:t>
            </w:r>
            <w:r w:rsidR="00E74478">
              <w:rPr>
                <w:rFonts w:ascii="Times New Roman CYR" w:hAnsi="Times New Roman CYR" w:cs="Times New Roman CYR"/>
              </w:rPr>
              <w:t xml:space="preserve"> отчет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 год отчет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 год оценка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0B67A9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2016 год 1 </w:t>
            </w:r>
            <w:r w:rsidR="00E74478">
              <w:rPr>
                <w:rFonts w:ascii="Times New Roman CYR" w:hAnsi="Times New Roman CYR" w:cs="Times New Roman CYR"/>
              </w:rPr>
              <w:t>вариант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2016 год 2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 год 1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 год 2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 год 1 вариант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 w:rsidP="000B67A9">
            <w:pPr>
              <w:widowControl/>
              <w:spacing w:after="40"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 год 2 вариант</w:t>
            </w:r>
          </w:p>
        </w:tc>
      </w:tr>
      <w:tr w:rsidR="000B67A9" w:rsidTr="000B67A9">
        <w:trPr>
          <w:trHeight w:val="308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Заготовка древесины тыс. пл. куб. м.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37,41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27,765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27,792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27,902</w:t>
            </w:r>
          </w:p>
        </w:tc>
      </w:tr>
      <w:tr w:rsidR="000B67A9" w:rsidTr="000B67A9">
        <w:trPr>
          <w:trHeight w:val="306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Вывозка древесины тыс. пл. куб. м.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37,41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27,765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27,792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ind w:hanging="391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27,902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27,846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27,902</w:t>
            </w:r>
          </w:p>
        </w:tc>
      </w:tr>
      <w:tr w:rsidR="000B67A9" w:rsidTr="000B67A9">
        <w:trPr>
          <w:trHeight w:val="306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797F20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объем отгруженных товаров собственного производства, выполненных работ и услуг собственными силами - тыс.</w:t>
            </w:r>
            <w:r w:rsidR="00797F20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руб</w:t>
            </w:r>
            <w:r w:rsidR="00797F20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66180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70125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80256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86456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86856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93256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94125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100656,3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102104</w:t>
            </w:r>
          </w:p>
        </w:tc>
      </w:tr>
      <w:tr w:rsidR="000B67A9" w:rsidTr="000B67A9">
        <w:trPr>
          <w:trHeight w:val="306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797F20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темп роста объема отгруженных товаров собственного производства, выполненных работ и услуг собственными силами в действующих ценах - 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126,5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105,96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114,45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107,73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107,87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107,94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108,48</w:t>
            </w:r>
          </w:p>
        </w:tc>
      </w:tr>
      <w:tr w:rsidR="000B67A9" w:rsidTr="000B67A9">
        <w:trPr>
          <w:trHeight w:val="306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индекс производства - </w:t>
            </w:r>
            <w:r w:rsidR="00797F20">
              <w:rPr>
                <w:rFonts w:ascii="Times New Roman CYR" w:hAnsi="Times New Roman CYR" w:cs="Times New Roman CYR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108,75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74,2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</w:t>
            </w:r>
          </w:p>
        </w:tc>
      </w:tr>
    </w:tbl>
    <w:p w:rsidR="0090355F" w:rsidRDefault="0090355F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  <w:sectPr w:rsidR="000B67A9" w:rsidSect="000B67A9">
          <w:pgSz w:w="15840" w:h="12240" w:orient="landscape"/>
          <w:pgMar w:top="1701" w:right="1134" w:bottom="851" w:left="1134" w:header="720" w:footer="720" w:gutter="0"/>
          <w:cols w:space="720"/>
          <w:noEndnote/>
        </w:sectPr>
      </w:pPr>
    </w:p>
    <w:p w:rsidR="0090355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РАЗДЕЛ D: Обрабатывающие производства, который включает</w:t>
      </w:r>
    </w:p>
    <w:p w:rsidR="0090355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Подраздел DA: Производство пищевых продуктов, включая напитки, и табака</w:t>
      </w:r>
    </w:p>
    <w:p w:rsidR="007E3B1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пищевых продуктов в районе представлено п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роизводством хлеба и хлебобулочных изделий</w:t>
      </w:r>
      <w:r>
        <w:rPr>
          <w:rFonts w:ascii="Times New Roman CYR" w:hAnsi="Times New Roman CYR" w:cs="Times New Roman CYR"/>
          <w:sz w:val="28"/>
          <w:szCs w:val="28"/>
        </w:rPr>
        <w:t xml:space="preserve">, которым занимается предприятие ПО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Среднесписочная численность работающих на данном предприятии</w:t>
      </w:r>
      <w:r w:rsidR="007E3B1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на 01.01.2014 года</w:t>
      </w:r>
      <w:r w:rsidR="007E3B1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составила 29 чел. Объем отгруженных товаров за 2014 год составил  6145  тыс.</w:t>
      </w:r>
      <w:r w:rsidR="007E3B1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руб., что на 37,8 % ниже 2013 года</w:t>
      </w:r>
      <w:r w:rsidR="007E3B1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за счет снижения объемов производства продукции. </w:t>
      </w:r>
    </w:p>
    <w:p w:rsidR="0090355F" w:rsidRDefault="00E74478" w:rsidP="00CD72F7">
      <w:pPr>
        <w:widowControl/>
        <w:spacing w:line="360" w:lineRule="auto"/>
        <w:ind w:left="-426" w:firstLine="113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 2014 год предприятием было произведено 125,4 тонн хлеба и хлебобулочных изделий</w:t>
      </w:r>
      <w:r w:rsidR="007E3B1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что выше уровня 2013 года на 14,6%, также предприятие</w:t>
      </w:r>
      <w:r w:rsidR="007E3B1F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 xml:space="preserve"> произведено  13 тонн кондитерских изделий, что ниже  уровня 2013 года на 15,1 %., производство полуфабрикатов составило 3,2 тонн</w:t>
      </w:r>
      <w:r w:rsidR="007E3B1F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>.  Предприятие работает стабильно</w:t>
      </w:r>
      <w:r w:rsidR="007E3B1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3B1F">
        <w:rPr>
          <w:rFonts w:ascii="Times New Roman CYR" w:hAnsi="Times New Roman CYR" w:cs="Times New Roman CYR"/>
          <w:sz w:val="28"/>
          <w:szCs w:val="28"/>
        </w:rPr>
        <w:t>с положительным финансовым результатом,</w:t>
      </w:r>
      <w:r>
        <w:rPr>
          <w:rFonts w:ascii="Times New Roman CYR" w:hAnsi="Times New Roman CYR" w:cs="Times New Roman CYR"/>
          <w:sz w:val="28"/>
          <w:szCs w:val="28"/>
        </w:rPr>
        <w:t xml:space="preserve"> в долгосрочной перспективе планируется незначительное увеличение производства хлеба и хлебобулочных изделий </w:t>
      </w:r>
      <w:r w:rsidR="007E3B1F">
        <w:rPr>
          <w:rFonts w:ascii="Times New Roman CYR" w:hAnsi="Times New Roman CYR" w:cs="Times New Roman CYR"/>
          <w:sz w:val="28"/>
          <w:szCs w:val="28"/>
        </w:rPr>
        <w:t xml:space="preserve"> - </w:t>
      </w:r>
      <w:r>
        <w:rPr>
          <w:rFonts w:ascii="Times New Roman CYR" w:hAnsi="Times New Roman CYR" w:cs="Times New Roman CYR"/>
          <w:sz w:val="28"/>
          <w:szCs w:val="28"/>
        </w:rPr>
        <w:t xml:space="preserve">к 2018 году до 126,4 тонн по 1 варианту и 126,5 тонн по 2 варианту, также </w:t>
      </w:r>
      <w:r w:rsidR="007E3B1F">
        <w:rPr>
          <w:rFonts w:ascii="Times New Roman CYR" w:hAnsi="Times New Roman CYR" w:cs="Times New Roman CYR"/>
          <w:sz w:val="28"/>
          <w:szCs w:val="28"/>
        </w:rPr>
        <w:t xml:space="preserve">планируется </w:t>
      </w:r>
      <w:r>
        <w:rPr>
          <w:rFonts w:ascii="Times New Roman CYR" w:hAnsi="Times New Roman CYR" w:cs="Times New Roman CYR"/>
          <w:sz w:val="28"/>
          <w:szCs w:val="28"/>
        </w:rPr>
        <w:t>увеличение производств</w:t>
      </w:r>
      <w:r w:rsidR="007E3B1F"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 xml:space="preserve"> кондитерских изделий и полуфабрикатов (Таблица 2)</w:t>
      </w: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0B67A9" w:rsidRDefault="000B67A9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  <w:sectPr w:rsidR="000B67A9" w:rsidSect="0090355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90355F" w:rsidRDefault="00E74478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Таблица 2</w:t>
      </w:r>
    </w:p>
    <w:p w:rsidR="0090355F" w:rsidRDefault="00E74478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по  Подраздел</w:t>
      </w:r>
      <w:r w:rsidR="00CD72F7"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 xml:space="preserve"> DA: Производство пищевых продуктов, включая напитки, и табака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17"/>
        <w:gridCol w:w="1150"/>
        <w:gridCol w:w="1060"/>
        <w:gridCol w:w="1242"/>
        <w:gridCol w:w="1377"/>
        <w:gridCol w:w="1300"/>
        <w:gridCol w:w="1361"/>
        <w:gridCol w:w="1270"/>
        <w:gridCol w:w="1391"/>
        <w:gridCol w:w="1376"/>
      </w:tblGrid>
      <w:tr w:rsidR="0090355F">
        <w:trPr>
          <w:trHeight w:val="1812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2013 год отчет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 год отчет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 год оценка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0B67A9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2016 год 1 </w:t>
            </w:r>
            <w:r w:rsidR="00E74478">
              <w:rPr>
                <w:rFonts w:ascii="Times New Roman CYR" w:hAnsi="Times New Roman CYR" w:cs="Times New Roman CYR"/>
              </w:rPr>
              <w:t>вариант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2016 год 2 вариант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 год 1 вариант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 год 2 вариант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 год 1 вариант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55F" w:rsidRDefault="00E74478">
            <w:pPr>
              <w:widowControl/>
              <w:spacing w:line="360" w:lineRule="auto"/>
              <w:ind w:left="113" w:right="113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 год 2 вариант</w:t>
            </w:r>
          </w:p>
        </w:tc>
      </w:tr>
      <w:tr w:rsidR="0090355F">
        <w:trPr>
          <w:trHeight w:val="855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Хлеб и хлебобулочные изделия, тонн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109,4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125,6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125,88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126,2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126,3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126,4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126,5</w:t>
            </w:r>
          </w:p>
        </w:tc>
      </w:tr>
      <w:tr w:rsidR="0090355F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Кондитерские изделия, тонн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15,3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13,1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13,15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13,19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13,2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13,41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13,42</w:t>
            </w:r>
          </w:p>
        </w:tc>
      </w:tr>
      <w:tr w:rsidR="0090355F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Полуфабрикаты мясные, тонн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3,4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3,21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3,22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3,23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3,24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3,26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3,27</w:t>
            </w:r>
          </w:p>
        </w:tc>
      </w:tr>
      <w:tr w:rsidR="0090355F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объем отгруженных товаров собственного производства, выполненных работ и услуг собственными силами -, </w:t>
            </w:r>
            <w:proofErr w:type="spellStart"/>
            <w:r>
              <w:rPr>
                <w:rFonts w:ascii="Times New Roman CYR" w:hAnsi="Times New Roman CYR" w:cs="Times New Roman CYR"/>
              </w:rPr>
              <w:t>тыс.руб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9878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6145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7050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7650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8150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8280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8880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9030</w:t>
            </w:r>
          </w:p>
        </w:tc>
      </w:tr>
      <w:tr w:rsidR="0090355F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темп роста объема отгруженных товаров собственного производства, выполненных работ и услуг собственными силами в действующих ценах -, %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98,2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62,2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114,7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107,8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108,51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107,23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108,23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108,96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109</w:t>
            </w:r>
          </w:p>
        </w:tc>
      </w:tr>
      <w:tr w:rsidR="0090355F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индекс производства -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98,5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97,9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100,41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100,41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100,43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100,59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100,66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100,68</w:t>
            </w:r>
          </w:p>
        </w:tc>
      </w:tr>
    </w:tbl>
    <w:p w:rsidR="0090355F" w:rsidRDefault="0090355F">
      <w:pPr>
        <w:widowControl/>
        <w:spacing w:line="360" w:lineRule="auto"/>
        <w:ind w:firstLine="709"/>
        <w:jc w:val="both"/>
        <w:rPr>
          <w:rFonts w:ascii="Arial CYR" w:hAnsi="Arial CYR" w:cs="Arial CYR"/>
          <w:sz w:val="20"/>
          <w:szCs w:val="20"/>
        </w:rPr>
      </w:pPr>
    </w:p>
    <w:p w:rsidR="000B67A9" w:rsidRDefault="000B67A9">
      <w:pPr>
        <w:widowControl/>
        <w:spacing w:line="360" w:lineRule="auto"/>
        <w:ind w:firstLine="709"/>
        <w:jc w:val="both"/>
        <w:rPr>
          <w:rFonts w:ascii="Arial CYR" w:hAnsi="Arial CYR" w:cs="Arial CYR"/>
          <w:sz w:val="20"/>
          <w:szCs w:val="20"/>
        </w:rPr>
        <w:sectPr w:rsidR="000B67A9" w:rsidSect="000B67A9">
          <w:pgSz w:w="15840" w:h="12240" w:orient="landscape"/>
          <w:pgMar w:top="1701" w:right="1134" w:bottom="851" w:left="1134" w:header="720" w:footer="720" w:gutter="0"/>
          <w:cols w:space="720"/>
          <w:noEndnote/>
        </w:sectPr>
      </w:pPr>
    </w:p>
    <w:p w:rsidR="0090355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Подраздел DD: Обработка древесины и производство изделий из дерева;</w:t>
      </w:r>
    </w:p>
    <w:p w:rsidR="00CD72F7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Обработку древесин</w:t>
      </w:r>
      <w:r w:rsidR="00CD72F7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на сегодняшний день осуществляет одно предприятие ООО “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Ютан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”. </w:t>
      </w:r>
    </w:p>
    <w:p w:rsidR="0090355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Среднесписочная численность работников данного предприятия составляет 18 человек. За 2014 год предприятием было произведено 1,1 тыс.куб.м., </w:t>
      </w:r>
      <w:proofErr w:type="spellStart"/>
      <w:r w:rsidR="00CD72F7">
        <w:rPr>
          <w:rFonts w:ascii="Times New Roman CYR" w:hAnsi="Times New Roman CYR" w:cs="Times New Roman CYR"/>
          <w:sz w:val="28"/>
          <w:szCs w:val="28"/>
        </w:rPr>
        <w:t>древесины,</w:t>
      </w:r>
      <w:r>
        <w:rPr>
          <w:rFonts w:ascii="Times New Roman CYR" w:hAnsi="Times New Roman CYR" w:cs="Times New Roman CYR"/>
          <w:sz w:val="28"/>
          <w:szCs w:val="28"/>
        </w:rPr>
        <w:t>что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выше уровня 2013 года на 10 %.</w:t>
      </w:r>
    </w:p>
    <w:p w:rsidR="0090355F" w:rsidRDefault="00E74478">
      <w:pPr>
        <w:widowControl/>
        <w:spacing w:line="36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Таблица 3</w:t>
      </w:r>
    </w:p>
    <w:p w:rsidR="0090355F" w:rsidRDefault="00E74478">
      <w:pPr>
        <w:widowControl/>
        <w:spacing w:line="360" w:lineRule="auto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Производство по Подраздел</w:t>
      </w:r>
      <w:r w:rsidR="00CD72F7">
        <w:rPr>
          <w:rFonts w:ascii="Times New Roman CYR" w:hAnsi="Times New Roman CYR" w:cs="Times New Roman CYR"/>
          <w:sz w:val="28"/>
          <w:szCs w:val="28"/>
        </w:rPr>
        <w:t>у</w:t>
      </w:r>
      <w:r>
        <w:rPr>
          <w:rFonts w:ascii="Times New Roman CYR" w:hAnsi="Times New Roman CYR" w:cs="Times New Roman CYR"/>
          <w:sz w:val="28"/>
          <w:szCs w:val="28"/>
        </w:rPr>
        <w:t xml:space="preserve"> DD: Обработка древесины и производство изделий из дерева</w:t>
      </w:r>
    </w:p>
    <w:tbl>
      <w:tblPr>
        <w:tblW w:w="1114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517"/>
        <w:gridCol w:w="969"/>
        <w:gridCol w:w="850"/>
        <w:gridCol w:w="885"/>
        <w:gridCol w:w="992"/>
        <w:gridCol w:w="890"/>
        <w:gridCol w:w="992"/>
        <w:gridCol w:w="992"/>
        <w:gridCol w:w="919"/>
        <w:gridCol w:w="1134"/>
      </w:tblGrid>
      <w:tr w:rsidR="0090355F" w:rsidTr="00553C5A">
        <w:trPr>
          <w:trHeight w:val="1812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Наименование показателя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2013 год 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2014 год  отчет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 год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553C5A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2016 год 1</w:t>
            </w:r>
            <w:r w:rsidR="00E74478">
              <w:rPr>
                <w:rFonts w:ascii="Times New Roman CYR" w:hAnsi="Times New Roman CYR" w:cs="Times New Roman CYR"/>
              </w:rPr>
              <w:t xml:space="preserve"> вариант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553C5A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2016 год</w:t>
            </w:r>
            <w:r w:rsidR="00E74478">
              <w:rPr>
                <w:rFonts w:ascii="Times New Roman CYR" w:hAnsi="Times New Roman CYR" w:cs="Times New Roman CYR"/>
              </w:rPr>
              <w:t xml:space="preserve"> 2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 год 1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2017 год 2 вариант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 год 1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 w:rsidP="00553C5A">
            <w:pPr>
              <w:widowControl/>
              <w:spacing w:line="360" w:lineRule="auto"/>
              <w:ind w:left="113" w:right="113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2018 год 2 вариант</w:t>
            </w:r>
          </w:p>
        </w:tc>
      </w:tr>
      <w:tr w:rsidR="0090355F" w:rsidTr="00553C5A">
        <w:trPr>
          <w:trHeight w:val="308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Пиломатериалы, тыс.куб.м.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1,13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1,14</w:t>
            </w:r>
          </w:p>
        </w:tc>
      </w:tr>
      <w:tr w:rsidR="0090355F" w:rsidTr="00553C5A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объем отгруженных товаров собственного производства, выполненных работ и услуг собственными силами -, </w:t>
            </w:r>
            <w:proofErr w:type="spellStart"/>
            <w:r>
              <w:rPr>
                <w:rFonts w:ascii="Times New Roman CYR" w:hAnsi="Times New Roman CYR" w:cs="Times New Roman CYR"/>
              </w:rPr>
              <w:t>тыс.руб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11688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14525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15880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17380</w:t>
            </w:r>
          </w:p>
        </w:tc>
      </w:tr>
      <w:tr w:rsidR="0090355F" w:rsidTr="00553C5A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темп роста объема отгруженных товаров собственного производства, выполненных работ и услуг собственными силами в действующих ценах -, %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104,23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161,43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107,58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108,24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109,36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109,44</w:t>
            </w:r>
          </w:p>
        </w:tc>
      </w:tr>
      <w:tr w:rsidR="0090355F" w:rsidTr="00553C5A">
        <w:trPr>
          <w:trHeight w:val="306"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индекс производства -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100,91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100,9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100,9</w:t>
            </w:r>
          </w:p>
        </w:tc>
      </w:tr>
    </w:tbl>
    <w:p w:rsidR="0090355F" w:rsidRDefault="0090355F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355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Объем отгруженных товаров собственного производства, выполненных работ и услуг собственными силами по обработке древесины и производству изделий из дерева к 2018 году составит 17170 тыс.руб. </w:t>
      </w:r>
    </w:p>
    <w:p w:rsidR="0090355F" w:rsidRDefault="00E74478">
      <w:pPr>
        <w:widowControl/>
        <w:spacing w:line="36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РАЗДЕЛ E:</w:t>
      </w:r>
      <w:r w:rsidR="008B19C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Производство и распределение электроэнергии, газа и воды;</w:t>
      </w:r>
    </w:p>
    <w:p w:rsidR="008B19CC" w:rsidRDefault="00E74478">
      <w:pPr>
        <w:widowControl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Производством тепла и воды</w:t>
      </w:r>
      <w:r>
        <w:rPr>
          <w:rFonts w:ascii="Times New Roman CYR" w:hAnsi="Times New Roman CYR" w:cs="Times New Roman CYR"/>
          <w:sz w:val="28"/>
          <w:szCs w:val="28"/>
        </w:rPr>
        <w:t xml:space="preserve"> на территории района в 2014 году занимались предприятия ЗАО “Заря” и муниципальное предприятие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 “Служба благоустройства”. МУП Служба благоустройства  занимается обеспечением населения холодной водой и водоотведением</w:t>
      </w:r>
      <w:r w:rsidR="008B19CC">
        <w:rPr>
          <w:rFonts w:ascii="Times New Roman CYR" w:hAnsi="Times New Roman CYR" w:cs="Times New Roman CYR"/>
          <w:sz w:val="28"/>
          <w:szCs w:val="28"/>
        </w:rPr>
        <w:t>.</w:t>
      </w:r>
    </w:p>
    <w:p w:rsidR="008B19CC" w:rsidRDefault="00E74478">
      <w:pPr>
        <w:widowControl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B19CC"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 xml:space="preserve"> 2014 году </w:t>
      </w:r>
      <w:r w:rsidR="008B19CC">
        <w:rPr>
          <w:rFonts w:ascii="Times New Roman CYR" w:hAnsi="Times New Roman CYR" w:cs="Times New Roman CYR"/>
          <w:sz w:val="28"/>
          <w:szCs w:val="28"/>
        </w:rPr>
        <w:t xml:space="preserve">данным предприятием </w:t>
      </w:r>
      <w:r>
        <w:rPr>
          <w:rFonts w:ascii="Times New Roman CYR" w:hAnsi="Times New Roman CYR" w:cs="Times New Roman CYR"/>
          <w:sz w:val="28"/>
          <w:szCs w:val="28"/>
        </w:rPr>
        <w:t xml:space="preserve">было произведено 0,859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тыс.Гкл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тепла и 67,3 тыс.м.куб воды, объем отгрузки составил 6591,6 тыс.руб.</w:t>
      </w:r>
    </w:p>
    <w:p w:rsidR="0090355F" w:rsidRDefault="008B19CC">
      <w:pPr>
        <w:widowControl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итогам </w:t>
      </w:r>
      <w:r w:rsidR="00E74478">
        <w:rPr>
          <w:rFonts w:ascii="Times New Roman CYR" w:hAnsi="Times New Roman CYR" w:cs="Times New Roman CYR"/>
          <w:sz w:val="28"/>
          <w:szCs w:val="28"/>
        </w:rPr>
        <w:t xml:space="preserve"> 2014 год</w:t>
      </w:r>
      <w:r>
        <w:rPr>
          <w:rFonts w:ascii="Times New Roman CYR" w:hAnsi="Times New Roman CYR" w:cs="Times New Roman CYR"/>
          <w:sz w:val="28"/>
          <w:szCs w:val="28"/>
        </w:rPr>
        <w:t xml:space="preserve">а, предприятием </w:t>
      </w:r>
      <w:r w:rsidR="00E74478">
        <w:rPr>
          <w:rFonts w:ascii="Times New Roman CYR" w:hAnsi="Times New Roman CYR" w:cs="Times New Roman CYR"/>
          <w:sz w:val="28"/>
          <w:szCs w:val="28"/>
        </w:rPr>
        <w:t xml:space="preserve"> ЗАО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="00E74478">
        <w:rPr>
          <w:rFonts w:ascii="Times New Roman CYR" w:hAnsi="Times New Roman CYR" w:cs="Times New Roman CYR"/>
          <w:sz w:val="28"/>
          <w:szCs w:val="28"/>
        </w:rPr>
        <w:t>Заря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="00E74478">
        <w:rPr>
          <w:rFonts w:ascii="Times New Roman CYR" w:hAnsi="Times New Roman CYR" w:cs="Times New Roman CYR"/>
          <w:sz w:val="28"/>
          <w:szCs w:val="28"/>
        </w:rPr>
        <w:t xml:space="preserve"> произвело  6,04 тыс. Гкал тепла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="00E74478">
        <w:rPr>
          <w:rFonts w:ascii="Times New Roman CYR" w:hAnsi="Times New Roman CYR" w:cs="Times New Roman CYR"/>
          <w:sz w:val="28"/>
          <w:szCs w:val="28"/>
        </w:rPr>
        <w:t xml:space="preserve"> объем отгруженных товаров составил 11500 тыс.руб.</w:t>
      </w:r>
    </w:p>
    <w:p w:rsidR="008B19CC" w:rsidRDefault="00E74478">
      <w:pPr>
        <w:widowControl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 по РАЗДЕЛУ E: Производство и распределение электроэнергии, газа и воды за 2014 год составил 18091 тыс.</w:t>
      </w:r>
      <w:r w:rsidR="008B19CC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руб., темп роста 75,9 % (МУП Служба благоустройства показало меньшую отгрузку в связи с увеличением затрат).</w:t>
      </w:r>
    </w:p>
    <w:p w:rsidR="0090355F" w:rsidRDefault="00E74478">
      <w:pPr>
        <w:widowControl/>
        <w:spacing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ндекс производства - РАЗДЕЛ E: Производство и распределение электроэнергии, газа и воды составил в 2014 году 101,11 %.  В перспективе планируется стабильная работа данных предприятий</w:t>
      </w:r>
      <w:r w:rsidR="008B19CC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без увеличения производственных мо</w:t>
      </w:r>
      <w:r w:rsidR="00E0088C">
        <w:rPr>
          <w:rFonts w:ascii="Times New Roman CYR" w:hAnsi="Times New Roman CYR" w:cs="Times New Roman CYR"/>
          <w:sz w:val="28"/>
          <w:szCs w:val="28"/>
        </w:rPr>
        <w:t>щ</w:t>
      </w:r>
      <w:r>
        <w:rPr>
          <w:rFonts w:ascii="Times New Roman CYR" w:hAnsi="Times New Roman CYR" w:cs="Times New Roman CYR"/>
          <w:sz w:val="28"/>
          <w:szCs w:val="28"/>
        </w:rPr>
        <w:t>ностей</w:t>
      </w:r>
      <w:r w:rsidR="00E0088C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так как они</w:t>
      </w:r>
      <w:r w:rsidR="00E0088C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на сегодняшний день</w:t>
      </w:r>
      <w:r w:rsidR="00E0088C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обеспечивают потребность населения района</w:t>
      </w:r>
      <w:r w:rsidR="00E0088C">
        <w:rPr>
          <w:rFonts w:ascii="Times New Roman CYR" w:hAnsi="Times New Roman CYR" w:cs="Times New Roman CYR"/>
          <w:sz w:val="28"/>
          <w:szCs w:val="28"/>
        </w:rPr>
        <w:t xml:space="preserve"> в тепле.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0088C">
        <w:rPr>
          <w:rFonts w:ascii="Times New Roman CYR" w:hAnsi="Times New Roman CYR" w:cs="Times New Roman CYR"/>
          <w:sz w:val="28"/>
          <w:szCs w:val="28"/>
        </w:rPr>
        <w:t>Увеличение</w:t>
      </w:r>
      <w:r>
        <w:rPr>
          <w:rFonts w:ascii="Times New Roman CYR" w:hAnsi="Times New Roman CYR" w:cs="Times New Roman CYR"/>
          <w:sz w:val="28"/>
          <w:szCs w:val="28"/>
        </w:rPr>
        <w:t xml:space="preserve"> мощностей данных предприятий может стать необходимым</w:t>
      </w:r>
      <w:r w:rsidR="00E0088C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случае комплексной застройки территории района, которая в</w:t>
      </w:r>
      <w:r w:rsidR="00E0088C">
        <w:rPr>
          <w:rFonts w:ascii="Times New Roman CYR" w:hAnsi="Times New Roman CYR" w:cs="Times New Roman CYR"/>
          <w:sz w:val="28"/>
          <w:szCs w:val="28"/>
        </w:rPr>
        <w:t xml:space="preserve"> ближайшей перспективе </w:t>
      </w:r>
      <w:r>
        <w:rPr>
          <w:rFonts w:ascii="Times New Roman CYR" w:hAnsi="Times New Roman CYR" w:cs="Times New Roman CYR"/>
          <w:sz w:val="28"/>
          <w:szCs w:val="28"/>
        </w:rPr>
        <w:t xml:space="preserve"> не плани</w:t>
      </w:r>
      <w:r w:rsidR="00E0088C">
        <w:rPr>
          <w:rFonts w:ascii="Times New Roman CYR" w:hAnsi="Times New Roman CYR" w:cs="Times New Roman CYR"/>
          <w:sz w:val="28"/>
          <w:szCs w:val="28"/>
        </w:rPr>
        <w:t>руется, по причине отсутствия финансов.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0355F" w:rsidRDefault="00E74478">
      <w:pPr>
        <w:widowControl/>
        <w:spacing w:line="360" w:lineRule="auto"/>
        <w:ind w:firstLine="540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300B06" w:rsidRDefault="00E74478" w:rsidP="004D5AFE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Производством сельскохозяйственной продукции в районе занимаются 40 организаций, состоящих на самостоятельном балансе.</w:t>
      </w:r>
    </w:p>
    <w:p w:rsidR="00300B06" w:rsidRDefault="00E74478" w:rsidP="004D5AFE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 Указанные 40 организаций представлены: 12 сельхозпредприятиями,  которые на сегодняшний день осуществляют деятельность</w:t>
      </w:r>
      <w:r w:rsidR="00300B06">
        <w:rPr>
          <w:rFonts w:ascii="Times New Roman CYR" w:hAnsi="Times New Roman CYR" w:cs="Times New Roman CYR"/>
          <w:kern w:val="20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28 крестьянски</w:t>
      </w:r>
      <w:r w:rsidR="00300B06">
        <w:rPr>
          <w:rFonts w:ascii="Times New Roman CYR" w:hAnsi="Times New Roman CYR" w:cs="Times New Roman CYR"/>
          <w:kern w:val="20"/>
          <w:sz w:val="28"/>
          <w:szCs w:val="28"/>
        </w:rPr>
        <w:t>ми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фермерски</w:t>
      </w:r>
      <w:r w:rsidR="00300B06">
        <w:rPr>
          <w:rFonts w:ascii="Times New Roman CYR" w:hAnsi="Times New Roman CYR" w:cs="Times New Roman CYR"/>
          <w:kern w:val="20"/>
          <w:sz w:val="28"/>
          <w:szCs w:val="28"/>
        </w:rPr>
        <w:t>ми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хозяйства</w:t>
      </w:r>
      <w:r w:rsidR="00300B06">
        <w:rPr>
          <w:rFonts w:ascii="Times New Roman CYR" w:hAnsi="Times New Roman CYR" w:cs="Times New Roman CYR"/>
          <w:kern w:val="20"/>
          <w:sz w:val="28"/>
          <w:szCs w:val="28"/>
        </w:rPr>
        <w:t>ми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 </w:t>
      </w:r>
    </w:p>
    <w:p w:rsidR="0090355F" w:rsidRDefault="00E74478" w:rsidP="004D5AFE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долю сельскохозяйственных предприятий приходится  23,34 % от общего объема производства, а на долю крестьянских фермерских хозяйств приходится всего 1,86 % от общего объема производства, на долю личных подсобных хозяйств приходится 74,79 % от общего объема производства продукции сельского хозяйства.</w:t>
      </w:r>
    </w:p>
    <w:p w:rsidR="0090355F" w:rsidRDefault="00E74478" w:rsidP="004D5AFE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района осуществляют деятельность 5270 личных подсобных хозяйств.</w:t>
      </w:r>
    </w:p>
    <w:p w:rsidR="0090355F" w:rsidRDefault="0090355F" w:rsidP="004D5AFE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tabs>
          <w:tab w:val="left" w:pos="7740"/>
        </w:tabs>
        <w:jc w:val="right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Таблица 1</w:t>
      </w:r>
    </w:p>
    <w:p w:rsidR="0090355F" w:rsidRDefault="00E74478">
      <w:pPr>
        <w:widowControl/>
        <w:tabs>
          <w:tab w:val="left" w:pos="7740"/>
        </w:tabs>
        <w:jc w:val="center"/>
        <w:rPr>
          <w:rFonts w:ascii="Times New Roman CYR" w:hAnsi="Times New Roman CYR" w:cs="Times New Roman CYR"/>
          <w:kern w:val="20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Валовое производство и удельный вес личных подсобных хозяйств населения района</w:t>
      </w:r>
      <w:r w:rsidR="00C936DA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общем объеме производства</w:t>
      </w:r>
      <w:r w:rsidR="00C936DA">
        <w:rPr>
          <w:rFonts w:ascii="Times New Roman CYR" w:hAnsi="Times New Roman CYR" w:cs="Times New Roman CYR"/>
          <w:kern w:val="20"/>
          <w:sz w:val="28"/>
          <w:szCs w:val="28"/>
        </w:rPr>
        <w:t xml:space="preserve"> основных видов </w:t>
      </w:r>
      <w:r w:rsidR="002C2E31">
        <w:rPr>
          <w:rFonts w:ascii="Times New Roman CYR" w:hAnsi="Times New Roman CYR" w:cs="Times New Roman CYR"/>
          <w:kern w:val="20"/>
          <w:sz w:val="28"/>
          <w:szCs w:val="28"/>
        </w:rPr>
        <w:t>сельскохозяйственной продукции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 </w:t>
      </w:r>
    </w:p>
    <w:tbl>
      <w:tblPr>
        <w:tblW w:w="0" w:type="auto"/>
        <w:tblInd w:w="-5" w:type="dxa"/>
        <w:tblLayout w:type="fixed"/>
        <w:tblLook w:val="0000"/>
      </w:tblPr>
      <w:tblGrid>
        <w:gridCol w:w="5393"/>
        <w:gridCol w:w="1244"/>
        <w:gridCol w:w="1205"/>
        <w:gridCol w:w="1025"/>
        <w:gridCol w:w="1200"/>
      </w:tblGrid>
      <w:tr w:rsidR="0090355F">
        <w:trPr>
          <w:trHeight w:hRule="exact" w:val="364"/>
        </w:trPr>
        <w:tc>
          <w:tcPr>
            <w:tcW w:w="5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Продукция</w:t>
            </w:r>
          </w:p>
        </w:tc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2014 год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2013 год</w:t>
            </w:r>
          </w:p>
        </w:tc>
      </w:tr>
      <w:tr w:rsidR="0090355F">
        <w:trPr>
          <w:trHeight w:val="2235"/>
        </w:trPr>
        <w:tc>
          <w:tcPr>
            <w:tcW w:w="5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90355F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ind w:left="113" w:right="113"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Валовое производство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ind w:left="113" w:right="113"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Удельный вес в общем объеме производства, %</w:t>
            </w:r>
          </w:p>
        </w:tc>
        <w:tc>
          <w:tcPr>
            <w:tcW w:w="1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ind w:left="113" w:right="113"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Валовое производство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ind w:left="113" w:right="113"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Удельный вес в общем объеме производства, %</w:t>
            </w:r>
          </w:p>
        </w:tc>
      </w:tr>
      <w:tr w:rsidR="0090355F">
        <w:tc>
          <w:tcPr>
            <w:tcW w:w="5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Картофель, тонн</w:t>
            </w:r>
          </w:p>
        </w:tc>
        <w:tc>
          <w:tcPr>
            <w:tcW w:w="1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11,4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10,72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100</w:t>
            </w:r>
          </w:p>
        </w:tc>
      </w:tr>
      <w:tr w:rsidR="0090355F">
        <w:tc>
          <w:tcPr>
            <w:tcW w:w="5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Скот и птица на убой (в живом весе),  тонн</w:t>
            </w:r>
          </w:p>
        </w:tc>
        <w:tc>
          <w:tcPr>
            <w:tcW w:w="1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4,83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79,73</w:t>
            </w:r>
          </w:p>
        </w:tc>
        <w:tc>
          <w:tcPr>
            <w:tcW w:w="1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4,25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89,04</w:t>
            </w:r>
          </w:p>
        </w:tc>
      </w:tr>
      <w:tr w:rsidR="0090355F">
        <w:tc>
          <w:tcPr>
            <w:tcW w:w="5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Молоко, тонн</w:t>
            </w:r>
          </w:p>
        </w:tc>
        <w:tc>
          <w:tcPr>
            <w:tcW w:w="1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14,4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88,76</w:t>
            </w:r>
          </w:p>
        </w:tc>
        <w:tc>
          <w:tcPr>
            <w:tcW w:w="1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14,5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87,94</w:t>
            </w:r>
          </w:p>
        </w:tc>
      </w:tr>
      <w:tr w:rsidR="0090355F">
        <w:tc>
          <w:tcPr>
            <w:tcW w:w="53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Яйца, млн. шт.</w:t>
            </w:r>
          </w:p>
        </w:tc>
        <w:tc>
          <w:tcPr>
            <w:tcW w:w="12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2,6</w:t>
            </w:r>
          </w:p>
        </w:tc>
        <w:tc>
          <w:tcPr>
            <w:tcW w:w="12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100</w:t>
            </w:r>
          </w:p>
        </w:tc>
        <w:tc>
          <w:tcPr>
            <w:tcW w:w="10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2,7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100</w:t>
            </w:r>
          </w:p>
        </w:tc>
      </w:tr>
    </w:tbl>
    <w:p w:rsidR="0090355F" w:rsidRDefault="0090355F">
      <w:pPr>
        <w:widowControl/>
        <w:tabs>
          <w:tab w:val="left" w:pos="7740"/>
        </w:tabs>
        <w:ind w:firstLine="851"/>
        <w:jc w:val="both"/>
        <w:rPr>
          <w:rFonts w:ascii="Times New Roman CYR" w:hAnsi="Times New Roman CYR" w:cs="Times New Roman CYR"/>
          <w:kern w:val="20"/>
        </w:rPr>
      </w:pPr>
    </w:p>
    <w:p w:rsidR="00AB06C9" w:rsidRDefault="00E74478" w:rsidP="00AB06C9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Объем произведенных товаров, выполненных работ и услуг собственными силами хозяйств населения - РАЗДЕЛ 03.00.09: </w:t>
      </w:r>
      <w:r w:rsidR="00AB06C9">
        <w:rPr>
          <w:rFonts w:ascii="Times New Roman CYR" w:hAnsi="Times New Roman CYR" w:cs="Times New Roman CYR"/>
          <w:kern w:val="20"/>
          <w:sz w:val="28"/>
          <w:szCs w:val="28"/>
        </w:rPr>
        <w:t>«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Сельское хозяйство</w:t>
      </w:r>
      <w:r w:rsidR="00AB06C9">
        <w:rPr>
          <w:rFonts w:ascii="Times New Roman CYR" w:hAnsi="Times New Roman CYR" w:cs="Times New Roman CYR"/>
          <w:kern w:val="20"/>
          <w:sz w:val="28"/>
          <w:szCs w:val="28"/>
        </w:rPr>
        <w:t>»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2014 году составил 952,7 млн. руб., что составляет 120,8 % </w:t>
      </w:r>
      <w:r w:rsidR="00AB06C9">
        <w:rPr>
          <w:rFonts w:ascii="Times New Roman CYR" w:hAnsi="Times New Roman CYR" w:cs="Times New Roman CYR"/>
          <w:kern w:val="20"/>
          <w:sz w:val="28"/>
          <w:szCs w:val="28"/>
        </w:rPr>
        <w:t xml:space="preserve">к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уровн</w:t>
      </w:r>
      <w:r w:rsidR="00AB06C9">
        <w:rPr>
          <w:rFonts w:ascii="Times New Roman CYR" w:hAnsi="Times New Roman CYR" w:cs="Times New Roman CYR"/>
          <w:kern w:val="20"/>
          <w:sz w:val="28"/>
          <w:szCs w:val="28"/>
        </w:rPr>
        <w:t>ю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2013 года. </w:t>
      </w:r>
    </w:p>
    <w:p w:rsidR="0090355F" w:rsidRDefault="00E74478" w:rsidP="00AB06C9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оценке в 2015 году объем производства по личным подсобным хозяйствам составит 1161 млн.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>выше уровня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2014 год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>а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208,6 млн. руб. (или 121,8%  к уровню 2014 г.). К 2018 году объем производства по личным подсобным хозяйствам составит 1388,7 млн.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 по 1 варианту и 1400,9 млн.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 по 2 варианту.</w:t>
      </w:r>
    </w:p>
    <w:p w:rsidR="0090355F" w:rsidRDefault="00E74478" w:rsidP="00AB06C9">
      <w:pPr>
        <w:widowControl/>
        <w:tabs>
          <w:tab w:val="left" w:pos="840"/>
        </w:tabs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Индекс производства по этому разделу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в 2014 году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составил  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>1</w:t>
      </w:r>
      <w:r>
        <w:rPr>
          <w:rFonts w:ascii="Times New Roman CYR" w:hAnsi="Times New Roman CYR" w:cs="Times New Roman CYR"/>
          <w:kern w:val="20"/>
          <w:sz w:val="28"/>
          <w:szCs w:val="28"/>
        </w:rPr>
        <w:t>01,4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%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4D5AF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2015 году планируется на уровне 102,10 %, в перспективе к 2018 году индекс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производства планируется на уровне  101,7 % по первому варианту и 102,10 % по 2 варианту.</w:t>
      </w:r>
    </w:p>
    <w:p w:rsidR="00685790" w:rsidRDefault="00E74478" w:rsidP="00AB06C9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</w:t>
      </w:r>
      <w:r w:rsidR="00685790">
        <w:rPr>
          <w:rFonts w:ascii="Times New Roman CYR" w:hAnsi="Times New Roman CYR" w:cs="Times New Roman CYR"/>
          <w:kern w:val="20"/>
          <w:sz w:val="28"/>
          <w:szCs w:val="28"/>
        </w:rPr>
        <w:t>н</w:t>
      </w:r>
      <w:r>
        <w:rPr>
          <w:rFonts w:ascii="Times New Roman CYR" w:hAnsi="Times New Roman CYR" w:cs="Times New Roman CYR"/>
          <w:kern w:val="20"/>
          <w:sz w:val="28"/>
          <w:szCs w:val="28"/>
        </w:rPr>
        <w:t>астоящее время</w:t>
      </w:r>
      <w:r w:rsidR="00101D48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территории района</w:t>
      </w:r>
      <w:r w:rsidR="00101D48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зарегистрировано 3</w:t>
      </w:r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сельскохозяйственных потребительских кооператива, которые</w:t>
      </w:r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осуществляют закуп и сбыт продукции</w:t>
      </w:r>
      <w:r w:rsidR="00101D48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закупленной у личных подсобных хозяйств. </w:t>
      </w:r>
    </w:p>
    <w:p w:rsidR="00685790" w:rsidRDefault="00E74478" w:rsidP="00685790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2014 году через систему потребительских кооперативов поступило для реализации</w:t>
      </w:r>
      <w:r w:rsidR="00685790"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от граждан ведущих личное подсобное хозяйство</w:t>
      </w:r>
      <w:r w:rsidR="00685790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5443 тонн</w:t>
      </w:r>
      <w:r w:rsidR="00685790">
        <w:rPr>
          <w:rFonts w:ascii="Times New Roman CYR" w:hAnsi="Times New Roman CYR" w:cs="Times New Roman CYR"/>
          <w:kern w:val="20"/>
          <w:sz w:val="28"/>
          <w:szCs w:val="28"/>
        </w:rPr>
        <w:t>ы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молока, что на 2001 тонну больше</w:t>
      </w:r>
      <w:r w:rsidR="00685790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чем в 2013 году. </w:t>
      </w:r>
    </w:p>
    <w:p w:rsidR="00685790" w:rsidRDefault="00E74478" w:rsidP="00685790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Выплачено за продукцию 68132 тыс. руб. </w:t>
      </w:r>
    </w:p>
    <w:p w:rsidR="0090355F" w:rsidRDefault="00E74478" w:rsidP="00685790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Мяса в живом весе  закуплено 495 тонн, что на 27 тонн меньше чем в 2013 году. Выплачено за продукцию 44479 тыс.</w:t>
      </w:r>
      <w:r w:rsidR="00685790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</w:t>
      </w:r>
    </w:p>
    <w:p w:rsidR="0090355F" w:rsidRDefault="00E74478" w:rsidP="00AB06C9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Основными сельскохозяйственными организациями района являются: </w:t>
      </w:r>
    </w:p>
    <w:p w:rsidR="0090355F" w:rsidRDefault="00E74478" w:rsidP="00AB06C9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ООО “Элита” с численностью работающих 92 человека и  объемом производства 85,3 млн.руб., что составляет  29 % от общего объема производства сельхозпредприятий;</w:t>
      </w:r>
    </w:p>
    <w:p w:rsidR="0090355F" w:rsidRDefault="00E74478" w:rsidP="00AB06C9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ЗАО “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Телекское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” с численностью работающих 28 чел. и объемом производства  39 млн.руб., что составило 13 % от общего объема производства; </w:t>
      </w:r>
    </w:p>
    <w:p w:rsidR="0090355F" w:rsidRDefault="00E74478" w:rsidP="00AB06C9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ООО “Ирина” с численностью работающих  49 человек и  объемом производства 48 млн.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руб., что составило 17% от общего объема производства;</w:t>
      </w:r>
    </w:p>
    <w:p w:rsidR="0090355F" w:rsidRDefault="00E74478" w:rsidP="00AB06C9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ООО “Восход” с численностью работающих 32 человека и  объемом производства 29 млн.руб., что составило 10 % от общего объема производства. </w:t>
      </w:r>
    </w:p>
    <w:p w:rsidR="0090355F" w:rsidRDefault="00E74478" w:rsidP="00AB06C9">
      <w:pPr>
        <w:widowControl/>
        <w:tabs>
          <w:tab w:val="left" w:pos="840"/>
        </w:tabs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сельскохозяйственных организаций - РАЗДЕЛ 03.00.09: 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>«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Сельское хозяйство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>»</w:t>
      </w:r>
      <w:r>
        <w:rPr>
          <w:rFonts w:ascii="Times New Roman CYR" w:hAnsi="Times New Roman CYR" w:cs="Times New Roman CYR"/>
          <w:kern w:val="20"/>
          <w:sz w:val="28"/>
          <w:szCs w:val="28"/>
        </w:rPr>
        <w:t>, составил в 2014 году 146,7  млн.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составляет 95,4% от уровня 2013 года. </w:t>
      </w:r>
    </w:p>
    <w:p w:rsidR="00CB3F6E" w:rsidRDefault="00E74478" w:rsidP="00AB06C9">
      <w:pPr>
        <w:widowControl/>
        <w:tabs>
          <w:tab w:val="left" w:pos="840"/>
        </w:tabs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2015 году объем отгруженных товаров по данному разделу планируется на уровне 150,8 млн.руб.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 перспективе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к 2018 году объем отгрузки достигнет 159,2 млн. руб. по 1 варианту и 162,06 млн.руб. по 2 варианту. </w:t>
      </w:r>
    </w:p>
    <w:p w:rsidR="0090355F" w:rsidRDefault="00E74478" w:rsidP="00AB06C9">
      <w:pPr>
        <w:widowControl/>
        <w:tabs>
          <w:tab w:val="left" w:pos="840"/>
        </w:tabs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Индекс производства по этому разделу   в 2014 году составил  100,3 % .  В перспективе к 2018 году индекс производства планируется на уровне  102,5 % по первому варианту и 102 % по 2 варианту.</w:t>
      </w:r>
    </w:p>
    <w:p w:rsidR="0090355F" w:rsidRDefault="00E74478" w:rsidP="00AB06C9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      Удельный вес прибыльных сельскохозяйственных организаций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общем их числе</w:t>
      </w:r>
      <w:r w:rsidR="00CB3F6E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составил в 2014 году 83,3 %. </w:t>
      </w:r>
    </w:p>
    <w:p w:rsidR="0090355F" w:rsidRDefault="00E74478" w:rsidP="00AB06C9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Анализ финансовых результатов деятельности сельскохозяйственных предприятий за 2014 год показал увеличение объема произведенных товаров ,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выполненных работ и услуг собственными силами сельскохозяйственных организаций на  27,05 млн. руб. к уровню 2013 года (или 110 %).</w:t>
      </w:r>
    </w:p>
    <w:p w:rsidR="0090355F" w:rsidRDefault="00E74478" w:rsidP="00AB06C9">
      <w:pPr>
        <w:widowControl/>
        <w:tabs>
          <w:tab w:val="left" w:pos="720"/>
          <w:tab w:val="left" w:pos="7740"/>
        </w:tabs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1 января 2015 года в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Идринском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районе сельскохозяйственным производством занимаются 28</w:t>
      </w:r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крестьянских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(фермерских) хозяйств.</w:t>
      </w:r>
    </w:p>
    <w:p w:rsidR="0090355F" w:rsidRDefault="00E74478">
      <w:pPr>
        <w:widowControl/>
        <w:tabs>
          <w:tab w:val="left" w:pos="7740"/>
        </w:tabs>
        <w:jc w:val="right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Таблица 2</w:t>
      </w:r>
    </w:p>
    <w:p w:rsidR="0090355F" w:rsidRDefault="00E74478">
      <w:pPr>
        <w:widowControl/>
        <w:tabs>
          <w:tab w:val="left" w:pos="7740"/>
        </w:tabs>
        <w:jc w:val="center"/>
        <w:rPr>
          <w:rFonts w:ascii="Times New Roman CYR" w:hAnsi="Times New Roman CYR" w:cs="Times New Roman CYR"/>
          <w:kern w:val="20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Валовое производство и удельный вес крестьянских (фермерских) хозяйств  района в объемах производства основных сельскохозяйственных продуктов в общем объеме производства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2880"/>
        <w:gridCol w:w="1620"/>
        <w:gridCol w:w="1980"/>
        <w:gridCol w:w="1620"/>
        <w:gridCol w:w="1810"/>
      </w:tblGrid>
      <w:tr w:rsidR="0090355F">
        <w:trPr>
          <w:trHeight w:hRule="exact" w:val="364"/>
        </w:trPr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Продукция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2014 год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2013 год</w:t>
            </w:r>
          </w:p>
        </w:tc>
      </w:tr>
      <w:tr w:rsidR="0090355F"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90355F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Валовое производство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Удельный вес в общем объеме производства, %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Валовое производство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Удельный вес в общем объеме производства, %</w:t>
            </w:r>
          </w:p>
        </w:tc>
      </w:tr>
      <w:tr w:rsidR="0090355F"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Зерно, в весе после доработки, тыс.тонн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2,531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tabs>
                <w:tab w:val="left" w:pos="7740"/>
              </w:tabs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8,28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2,025</w:t>
            </w: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5,58</w:t>
            </w:r>
          </w:p>
        </w:tc>
      </w:tr>
    </w:tbl>
    <w:p w:rsidR="0090355F" w:rsidRDefault="0090355F">
      <w:pPr>
        <w:widowControl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2F5884" w:rsidRDefault="00E74478" w:rsidP="004D5AFE">
      <w:pPr>
        <w:widowControl/>
        <w:tabs>
          <w:tab w:val="left" w:pos="840"/>
        </w:tabs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Объем произведенных товаров собственного производства, выполненных работ и услуг собственными силами крестьянских (фермерских) хозяйств – РАЗДЕЛ 03.00.09: 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«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Сельское хозяйство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»</w:t>
      </w:r>
      <w:r>
        <w:rPr>
          <w:rFonts w:ascii="Times New Roman CYR" w:hAnsi="Times New Roman CYR" w:cs="Times New Roman CYR"/>
          <w:kern w:val="20"/>
          <w:sz w:val="28"/>
          <w:szCs w:val="28"/>
        </w:rPr>
        <w:t>, составил в 2014 году 23,8 млн.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составляет 142,53 % от уровня 2013 года. В 2015 году объем произведенных товаров по данному разделу планируется на уровне 29,8 млн.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 в  перспективе  к 2018 году объем производства достигнет 40,9 млн. руб. по 1 варианту и 43,4 млн.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 по 2 варианту.</w:t>
      </w:r>
    </w:p>
    <w:p w:rsidR="0090355F" w:rsidRDefault="00E74478" w:rsidP="004D5AFE">
      <w:pPr>
        <w:widowControl/>
        <w:tabs>
          <w:tab w:val="left" w:pos="840"/>
        </w:tabs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Индекс производства по этому разделу   в 2014 году составил 110 %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2015 году планируется на уровне 105 %, в перспективе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 2018 году индекс производства планируется на уровне  105,8 % по 1 варианту и 108,3 % по 2 варианту.</w:t>
      </w:r>
    </w:p>
    <w:p w:rsidR="0090355F" w:rsidRDefault="00E74478" w:rsidP="004D5AFE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Территориально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 расположен в стороне от ведущих магистральных трасс автомобильного, водного, воздушного и железнодорожного транспорта. Произведенная в районе сельскохозяйственная продукция, в основном,  реализуется за 121 км от места производства в Минусинский район, за 146 км – в Хакасию. </w:t>
      </w:r>
    </w:p>
    <w:p w:rsidR="0090355F" w:rsidRDefault="00E74478">
      <w:pPr>
        <w:widowControl/>
        <w:spacing w:line="360" w:lineRule="auto"/>
        <w:ind w:firstLine="540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4928D9">
        <w:rPr>
          <w:b/>
          <w:bCs/>
          <w:color w:val="000000"/>
          <w:sz w:val="28"/>
          <w:szCs w:val="28"/>
        </w:rPr>
        <w:t xml:space="preserve">3.1.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Растениеводство</w:t>
      </w:r>
    </w:p>
    <w:p w:rsidR="0090355F" w:rsidRDefault="00E74478" w:rsidP="002F5884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Посевная площадь сельскохозяйственных культур в 2014 году составляет  37290 га, что выше уровня 2013 года на 3375 га. Площадь зерновых культур в 2014 году составила 25545 га , что составляет 68,05 % от общей площади посева,  по сравнению с 2013 годом площадь зерновых увеличилась на 2472 га. </w:t>
      </w:r>
    </w:p>
    <w:p w:rsidR="0090355F" w:rsidRDefault="00E74478" w:rsidP="002F5884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color w:val="FF0000"/>
          <w:kern w:val="20"/>
          <w:sz w:val="28"/>
          <w:szCs w:val="28"/>
        </w:rPr>
        <w:lastRenderedPageBreak/>
        <w:t xml:space="preserve">       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Производство зерна за 2014 год составило 30547 тонн, что на  5729 тонн меньше чем в 2013 году (или 84,2 % от уровня 2013 г.). Сокращение производства зерна связано с неблагоприятными погодными условиями.</w:t>
      </w:r>
    </w:p>
    <w:p w:rsidR="0090355F" w:rsidRDefault="00E74478" w:rsidP="002F5884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2015 году планируется произвести 32749 тонн зерна и в 2018 году 40340 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 и 40628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.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1 и 2 вариант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 xml:space="preserve">ам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соответственно. </w:t>
      </w:r>
    </w:p>
    <w:p w:rsidR="0090355F" w:rsidRDefault="00E74478" w:rsidP="002F5884">
      <w:pPr>
        <w:widowControl/>
        <w:spacing w:line="276" w:lineRule="auto"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Производство картофеля в 2014 году составило 11,4 тыс.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., что выше уровня 2013 года на 683  тонны.   По оценке  в 2015 году производство картофеля составит 12,5 тыс.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. и к 2018 году увеличится на 0,296 тыс.т.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 по 1 варианту – 12,7 тыс. т., по 2 варианту – 12,8 тыс. т. </w:t>
      </w:r>
    </w:p>
    <w:p w:rsidR="0090355F" w:rsidRDefault="00E74478" w:rsidP="002F5884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Увеличение урожайности и валового сбора зерна будет осуществляться за счет перевода растениеводства на ресурсосберегающие и низко затратные технологии, внедрения высокоурожайных и перспективных сортов, устойчивых к полеганию, вредителям и болезням. Такие предприятия как ООО Элита, ООО Ирина, ЗАО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Телекское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, ООО Восход ежегодно осуществляют закупку семян   элиты и первой репродукции зерновых культур, а также занимаются внесением в почву минеральных удобрений и проводят мероприятия по химической защите. Как следствие из указанных предприятий планируется повышение урожайности зерновых культур. </w:t>
      </w:r>
    </w:p>
    <w:p w:rsidR="0090355F" w:rsidRDefault="00E74478" w:rsidP="002F5884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Урожайность зерновых культур в 2014 году составила  12 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ц</w:t>
      </w:r>
      <w:proofErr w:type="spellEnd"/>
      <w:r w:rsidR="002F5884">
        <w:rPr>
          <w:rFonts w:ascii="Times New Roman CYR" w:hAnsi="Times New Roman CYR" w:cs="Times New Roman CYR"/>
          <w:kern w:val="16"/>
          <w:sz w:val="28"/>
          <w:szCs w:val="28"/>
        </w:rPr>
        <w:t>.</w:t>
      </w:r>
      <w:r>
        <w:rPr>
          <w:rFonts w:ascii="Times New Roman CYR" w:hAnsi="Times New Roman CYR" w:cs="Times New Roman CYR"/>
          <w:kern w:val="16"/>
          <w:sz w:val="28"/>
          <w:szCs w:val="28"/>
        </w:rPr>
        <w:t>/га</w:t>
      </w:r>
      <w:r w:rsidR="002F5884">
        <w:rPr>
          <w:rFonts w:ascii="Times New Roman CYR" w:hAnsi="Times New Roman CYR" w:cs="Times New Roman CYR"/>
          <w:kern w:val="16"/>
          <w:sz w:val="28"/>
          <w:szCs w:val="28"/>
        </w:rPr>
        <w:t>.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 w:rsidR="002F5884">
        <w:rPr>
          <w:rFonts w:ascii="Times New Roman CYR" w:hAnsi="Times New Roman CYR" w:cs="Times New Roman CYR"/>
          <w:kern w:val="16"/>
          <w:sz w:val="28"/>
          <w:szCs w:val="28"/>
        </w:rPr>
        <w:t>(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76,4 %  от уровня 2013 года). Одна из основных причин снижения урожайности в районе – погодные условия (засуха). В 2016 году планируется увеличение урожайности до 15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ц</w:t>
      </w:r>
      <w:proofErr w:type="spellEnd"/>
      <w:r w:rsidR="002F5884">
        <w:rPr>
          <w:rFonts w:ascii="Times New Roman CYR" w:hAnsi="Times New Roman CYR" w:cs="Times New Roman CYR"/>
          <w:kern w:val="16"/>
          <w:sz w:val="28"/>
          <w:szCs w:val="28"/>
        </w:rPr>
        <w:t>.</w:t>
      </w:r>
      <w:r>
        <w:rPr>
          <w:rFonts w:ascii="Times New Roman CYR" w:hAnsi="Times New Roman CYR" w:cs="Times New Roman CYR"/>
          <w:kern w:val="16"/>
          <w:sz w:val="28"/>
          <w:szCs w:val="28"/>
        </w:rPr>
        <w:t>/га.</w:t>
      </w:r>
    </w:p>
    <w:p w:rsidR="00DC12BB" w:rsidRDefault="00E74478" w:rsidP="002F5884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связи с сокращением производства зерна объем произведенных товаров, выполненных работ и услуг собственными силами - РАЗДЕЛ А-01.1: 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«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Растениеводство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>»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2014 году составил 346,6 млн. руб., что  на 44,9 млн.</w:t>
      </w:r>
      <w:r w:rsidR="002F588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 меньше чем в 2013 г.</w:t>
      </w:r>
      <w:r w:rsidR="00DC12BB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или 88,52 % от уровня 2013 года.  </w:t>
      </w:r>
    </w:p>
    <w:p w:rsidR="0090355F" w:rsidRDefault="00E74478" w:rsidP="002F5884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Отрасль растениеводства составляет 27 % от общего объема произведенных товаров работ и услуг по отрасли сельское хозяйство.</w:t>
      </w:r>
    </w:p>
    <w:p w:rsidR="0090355F" w:rsidRDefault="0090355F" w:rsidP="002F5884">
      <w:pPr>
        <w:spacing w:line="276" w:lineRule="auto"/>
        <w:rPr>
          <w:rFonts w:ascii="Arial" w:hAnsi="Arial" w:cs="Arial"/>
          <w:sz w:val="16"/>
          <w:szCs w:val="16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3.2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Животноводство</w:t>
      </w:r>
    </w:p>
    <w:p w:rsidR="00DC12BB" w:rsidRDefault="00DC12BB">
      <w:pPr>
        <w:widowControl/>
        <w:ind w:firstLine="567"/>
        <w:jc w:val="both"/>
        <w:rPr>
          <w:rFonts w:ascii="Times New Roman CYR" w:hAnsi="Times New Roman CYR" w:cs="Times New Roman CYR"/>
          <w:color w:val="000000"/>
          <w:kern w:val="20"/>
          <w:sz w:val="28"/>
          <w:szCs w:val="28"/>
        </w:rPr>
      </w:pP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kern w:val="20"/>
          <w:sz w:val="28"/>
          <w:szCs w:val="28"/>
        </w:rPr>
        <w:t xml:space="preserve">По данным территориального органа Федеральной службы  государственной  статистики  по  Красноярскому краю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на 01 января 2015 года поголовье крупного рогатого  скота составило 12941 голова, (на 327 голов больше, 102,6 к уровню 2013 г.)</w:t>
      </w:r>
      <w:r w:rsidR="00DC12BB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оценке 2015 года поголовье крупного рогатого скота останется  на уровне предыдущего года и к 2018 году достигнет показателя 13200 голов.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Поголовье племенного скота с 1614 голов увеличится к 2018 году до 1998 голов, также планируется увеличение поголовья его реализации. 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Поголовье коров в 2014 году составило – 4937 гол., что на 241 голову больше, чем в 2013 году, ( 101,3 % от уровня 2013 года).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Сокращение поголовья коров молочного направления, в сельскохозяйственных предприятиях района, обусловлено в связи с их переходом на разведение   скота мясного направления. В 2015 году поголовье коров составит 5178.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Поголовье овец на 01.01. 2015 г.  сократилось с показателя 2012 года 2276 голов  и составило 884 головы</w:t>
      </w:r>
      <w:r w:rsidR="00DC12BB"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итогам 2014 года. 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Сокращение поголовья  обусловлено нехваткой земельных угодий для выпасов и отсутствием господдержки на развитие овцеводства. 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Поголовье свиней в 2014 году составило 7899 голов, что на 1,6 % ниже, чем в 2013 году. 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Тенденция снижения поголовья свиней связана с высокой себестоимостью их содержания. 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Валовое производство молока в 2014 году составляет 14446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., </w:t>
      </w:r>
      <w:r w:rsidR="00DC12BB">
        <w:rPr>
          <w:rFonts w:ascii="Times New Roman CYR" w:hAnsi="Times New Roman CYR" w:cs="Times New Roman CYR"/>
          <w:kern w:val="20"/>
          <w:sz w:val="28"/>
          <w:szCs w:val="28"/>
        </w:rPr>
        <w:t>(</w:t>
      </w:r>
      <w:r>
        <w:rPr>
          <w:rFonts w:ascii="Times New Roman CYR" w:hAnsi="Times New Roman CYR" w:cs="Times New Roman CYR"/>
          <w:kern w:val="20"/>
          <w:sz w:val="28"/>
          <w:szCs w:val="28"/>
        </w:rPr>
        <w:t>99,53 % от уровня 2013 года), сокращение производства молока связано с сокращением поголовья коров мясного направления.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Производство мяса в 2014 году равно 4836 тонн, что составляет 113,7 % к уровню 2013 года,  в 2015 году планируется произвести мяса 5034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тн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. и к 2018 году довести производство мяса до 5690тн.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Увеличение производства мяса будет достигнуто за счет повышения продуктивности молодняка крупного рогатого скота и улучшение кормового рациона сельскохозяйственных животных. 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Развитие кормопроизводства будет осуществляться за счет более эффективного использования кормовых угодий, совершенствование структуры кормовых культур и повышения их урожайности, за счет внедрения новых высокоурожайных сортов, а также внесения минеральных удобрений под кормовые культуры.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Объем произведенных товаров, выполненных работ и услуг собственными силами - РАЗДЕЛ А-01.2: 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>«</w:t>
      </w:r>
      <w:r>
        <w:rPr>
          <w:rFonts w:ascii="Times New Roman CYR" w:hAnsi="Times New Roman CYR" w:cs="Times New Roman CYR"/>
          <w:kern w:val="20"/>
          <w:sz w:val="28"/>
          <w:szCs w:val="28"/>
        </w:rPr>
        <w:t>Животноводство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>»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2014 году составил 927,2 млн.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 выше показателя  2013 года на  243,2 млн.руб. 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росте показателя, нашло своё положительное отражение, в первую очередь, увеличение производства мяса, а также , пусть и не значительное, повышение закупочной цены.</w:t>
      </w:r>
    </w:p>
    <w:p w:rsidR="0090355F" w:rsidRDefault="00E74478" w:rsidP="00DC12BB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Отрасль животноводства составила  в 2014 году 72,79 % от общего объема произведенных товаров работ и услуг по отрасли сельское хозяйство, что выше уровня 2013 года на 8,89 %.</w:t>
      </w:r>
    </w:p>
    <w:p w:rsidR="0090355F" w:rsidRDefault="00E74478" w:rsidP="00DC12BB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>Основная доля производства продукции животноводства приходится на такие предприятия, как: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ООО "Элита", ООО "Ирина", СПК "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Сывель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", СПК "Борец", ООО "Восход", ООО "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Байтак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". </w:t>
      </w:r>
    </w:p>
    <w:p w:rsidR="0090355F" w:rsidRDefault="0090355F">
      <w:pPr>
        <w:rPr>
          <w:rFonts w:ascii="Arial" w:hAnsi="Arial" w:cs="Arial"/>
          <w:sz w:val="20"/>
          <w:szCs w:val="20"/>
        </w:rPr>
      </w:pP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90355F" w:rsidRDefault="0090355F">
      <w:pPr>
        <w:rPr>
          <w:rFonts w:ascii="Arial" w:hAnsi="Arial" w:cs="Arial"/>
          <w:sz w:val="16"/>
          <w:szCs w:val="16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4928D9">
        <w:rPr>
          <w:b/>
          <w:bCs/>
          <w:color w:val="000000"/>
          <w:sz w:val="28"/>
          <w:szCs w:val="28"/>
        </w:rPr>
        <w:t xml:space="preserve">4.1.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Жилищное строительство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капитальных вложений за счет всех источников финансирования на строительство, реконструкцию и капитальный ремонт по всем объектам за 2014 год составил 49476,72 тыс.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 xml:space="preserve">.,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темп роста 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 xml:space="preserve">к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уровню 2013 года составил 90,5 %.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площадь жилищного фонда, введенная за год, приходящаяся на 1 человека населения в 2014 году составила 0,27 кв.м.</w:t>
      </w:r>
      <w:r w:rsidR="00FD70A7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ниже  уровня 2013 года на 29,4 %. </w:t>
      </w:r>
    </w:p>
    <w:p w:rsidR="007B76F1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Площадь земельных участков, предоставленных для строительства</w:t>
      </w:r>
      <w:r w:rsidR="007B76F1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2014 году составила 11,25 га, что составляет к уровню показателя 2013 года 296,1 %. 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 2018 году площадь земельных участков предоставленных для строительства составит 13,5 га, по оптимистичному второму варианту.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Площадь земельных участков, предоставленных в отчетном периоде для строительства в расчете на 10000 человек населения по итогам 2014 года составила 9,52</w:t>
      </w:r>
      <w:r w:rsidR="007B76F1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га.</w:t>
      </w:r>
      <w:r w:rsidR="007B76F1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 2018 году планируется данный показатель увеличить до значения 12,05 га.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итогам 2014 года 18 семей получили жилые помещения или улучшили жилищные условия и только одна из них по программе "Обеспечение жильем молоды семей в Красноярском крае " на 2012 - 2015 годы. В прогнозном 2015 году из планируемых 4 семей, получит сертификат только одна, а также выдан один сертификат молодому специалисту.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Администрацией района принимаются дополнительные меры по обеспечению прогнозируемого ввода жилья, возводимого за счет всех источников финансирования, предприятиями всех форм собственности, включая средства населения.</w:t>
      </w:r>
    </w:p>
    <w:p w:rsidR="0090355F" w:rsidRDefault="00E74478">
      <w:pPr>
        <w:widowControl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Аварийное жильё, установленно</w:t>
      </w:r>
      <w:r w:rsidR="00232816">
        <w:rPr>
          <w:rFonts w:ascii="Times New Roman CYR" w:hAnsi="Times New Roman CYR" w:cs="Times New Roman CYR"/>
          <w:kern w:val="20"/>
          <w:sz w:val="28"/>
          <w:szCs w:val="28"/>
        </w:rPr>
        <w:t>е, в соответствии с требованиями законодательства,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территории муниципального образования отсутствует.</w:t>
      </w:r>
    </w:p>
    <w:p w:rsidR="0090355F" w:rsidRDefault="00E74478">
      <w:pPr>
        <w:rPr>
          <w:rFonts w:ascii="Arial" w:hAnsi="Arial" w:cs="Arial"/>
          <w:sz w:val="16"/>
          <w:szCs w:val="16"/>
        </w:rPr>
      </w:pPr>
      <w:r>
        <w:rPr>
          <w:rFonts w:ascii="Arial CYR" w:hAnsi="Arial CYR" w:cs="Arial CYR"/>
          <w:sz w:val="16"/>
          <w:szCs w:val="16"/>
        </w:rPr>
        <w:tab/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5.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Инвестиции</w:t>
      </w:r>
    </w:p>
    <w:p w:rsidR="00756FD2" w:rsidRDefault="00756FD2">
      <w:pPr>
        <w:widowControl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2014 году сумма инвестиций в основной капитал за счет всех источников финансирования с субъектами  малого бизнеса составила 98798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темп роста в сопоставимых ценах к 2013 году составил 80,07 %. Данная сумма состоит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из крупных и средних предприятий (42068 тыс.руб.), а также инвестиций малого бизнеса (56730 тыс.</w:t>
      </w:r>
      <w:r w:rsidR="00756FD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</w:t>
      </w:r>
      <w:r w:rsidR="00756FD2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). Снижение объема инвестиций по крупным и средним предприятиям в 2014 году по сравнению с 2013 годом произошло на 28,1 % в основном за счет:  раздела Е Производство и распределение электроэнергии, газа и воды на 12,5 %, отрасли транспорт и связь на 80,5 %, отрасли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  <w:r w:rsidR="00756FD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управления на 66,8 %. Объем инвестиций по малому бизнесу сократился на 2,8 % по отношению в 2013 году.</w:t>
      </w:r>
    </w:p>
    <w:p w:rsidR="00756FD2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структуре инвестиций</w:t>
      </w:r>
      <w:r w:rsidR="00756FD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по крупным и средним предприятиям</w:t>
      </w:r>
      <w:r w:rsidR="00756FD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наибольший удельный вес</w:t>
      </w:r>
      <w:r w:rsidR="00756FD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2013 г и все последующие годы</w:t>
      </w:r>
      <w:r w:rsidR="00756FD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 занимает сельское хозяйство </w:t>
      </w:r>
      <w:r w:rsidR="00756FD2"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34 % (14311 тыс.</w:t>
      </w:r>
      <w:r w:rsidR="00756FD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руб.), данная отрасль представлена в районе одним крупным предприятием ООО Элита, которое в 2014 году осуществляла приобретение новой сельскохозяйственной техники (зерноуборочный комбайн, кормоуборочный комбайн, автопогрузчик и т.д.).</w:t>
      </w: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На втором месте отрасль образование </w:t>
      </w:r>
      <w:r w:rsidR="00756FD2">
        <w:rPr>
          <w:rFonts w:ascii="Times New Roman CYR" w:hAnsi="Times New Roman CYR" w:cs="Times New Roman CYR"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17,8 %</w:t>
      </w:r>
      <w:r w:rsidR="00756FD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по которой рамках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  <w:r w:rsidR="00756FD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программ производились капитальные ремонты детских сад</w:t>
      </w:r>
      <w:r w:rsidR="00756FD2">
        <w:rPr>
          <w:rFonts w:ascii="Times New Roman CYR" w:hAnsi="Times New Roman CYR" w:cs="Times New Roman CYR"/>
          <w:sz w:val="28"/>
          <w:szCs w:val="28"/>
        </w:rPr>
        <w:t>ов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Инвестиции малого бизнеса также представлены сельскохозяйственными предприятиями в сумме 56730 тыс.</w:t>
      </w:r>
      <w:r w:rsidR="006D718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</w:t>
      </w:r>
      <w:r w:rsidR="006D718E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, которыми приобреталась новая сельскохозяйственная техника.</w:t>
      </w: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2015 году объем инвестиций планируется на уровне 10988,93 тыс. руб., темп роста к уровню 2014 года составит 101,02 % при условии динамичного развития экономики района.</w:t>
      </w: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2016 году сумма инвестиций планируется на уровне 117274,12 тыс.</w:t>
      </w:r>
      <w:r w:rsidR="006D718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 (темп роста 101,25 %) по 1 варианту и 117985,96 тыс.руб. (темп роста 101,88 %) по 2 варианту значительных скачков также не планируется в виду отсутствия инвестиционных проектов. Также в 2017-2018 годам объем инвестиций растет динамичными темпами на 101,74-101,81 % по 1 варианту и 102,1-102,46 % по второму варианту.</w:t>
      </w: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Предприятий реализующих инвестиционные проекты на территории района нет (Приложение 28 не заполняется) в 2014 году. </w:t>
      </w:r>
    </w:p>
    <w:p w:rsidR="0090355F" w:rsidRDefault="0090355F" w:rsidP="00756FD2">
      <w:pPr>
        <w:spacing w:line="276" w:lineRule="auto"/>
        <w:rPr>
          <w:rFonts w:ascii="Arial" w:hAnsi="Arial" w:cs="Arial"/>
          <w:sz w:val="20"/>
          <w:szCs w:val="20"/>
        </w:rPr>
      </w:pPr>
    </w:p>
    <w:p w:rsidR="0090355F" w:rsidRDefault="00E74478" w:rsidP="00756FD2">
      <w:pPr>
        <w:spacing w:line="276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4928D9">
        <w:rPr>
          <w:b/>
          <w:bCs/>
          <w:color w:val="000000"/>
          <w:sz w:val="28"/>
          <w:szCs w:val="28"/>
        </w:rPr>
        <w:t xml:space="preserve">6.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Транспорт и связь</w:t>
      </w: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единиц автотранспорта на конец 2014 года в районе составило 6148 ед.</w:t>
      </w:r>
      <w:r w:rsidR="00550979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на 177 ед. больше чем в 2013 году, учитывая динамику прошлых лет в  2015 году планируется количество единиц автотранспорта 6155 ед. и к 2018 году составит 6170 ед. по 1 варианту и 6175 по 2 варианту прогноза. Количество единиц автотранспорта крупных и средних организаций на конец 2014 года по данным ГИБДД составило 358 ед.</w:t>
      </w:r>
    </w:p>
    <w:p w:rsidR="0090355F" w:rsidRDefault="00E74478" w:rsidP="00756FD2">
      <w:pPr>
        <w:widowControl/>
        <w:spacing w:after="120"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Основными предприятиями</w:t>
      </w:r>
      <w:r w:rsidR="00550979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оказывающими платные транспортные  услуги в районе</w:t>
      </w:r>
      <w:r w:rsidR="00550979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являются: - предприятия пассажирского транспорта -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Краснотуранское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АТП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Идринская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автоколонна, ООО «Лань-такси», грузоперевозки - сельскохозяйственные предприятия района. Объем услуг, оказанных организациями транспорта всех видов в 2014 году составил 1015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тыс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.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, что выше уровня 2013 года на 8,2 % в 2015 году планируется оказание транспортных услуг на уровне 1036 тыс.руб. и к 2018 году объем транспортных услуг составит по 1 варианту 1289 тыс.руб. и по 2 варианту 1300 тыс.руб.</w:t>
      </w:r>
    </w:p>
    <w:p w:rsidR="00550979" w:rsidRDefault="00E74478" w:rsidP="00756FD2">
      <w:pPr>
        <w:widowControl/>
        <w:spacing w:after="120"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населения, проживающего в населенных пунктах, имеющих регулярное автобусное и (или) железнодорожное сообщение с административным центром в 2014 году составил</w:t>
      </w:r>
      <w:r w:rsidR="00550979">
        <w:rPr>
          <w:rFonts w:ascii="Times New Roman CYR" w:hAnsi="Times New Roman CYR" w:cs="Times New Roman CYR"/>
          <w:kern w:val="20"/>
          <w:sz w:val="28"/>
          <w:szCs w:val="28"/>
        </w:rPr>
        <w:t>а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11997 чел</w:t>
      </w:r>
      <w:r w:rsidR="00550979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</w:p>
    <w:p w:rsidR="0090355F" w:rsidRDefault="00550979" w:rsidP="00756FD2">
      <w:pPr>
        <w:widowControl/>
        <w:spacing w:after="120"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Д</w:t>
      </w:r>
      <w:r w:rsidR="00E74478">
        <w:rPr>
          <w:rFonts w:ascii="Times New Roman CYR" w:hAnsi="Times New Roman CYR" w:cs="Times New Roman CYR"/>
          <w:kern w:val="20"/>
          <w:sz w:val="28"/>
          <w:szCs w:val="28"/>
        </w:rPr>
        <w:t xml:space="preserve">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составила в 2014 году 0,1 %. </w:t>
      </w:r>
    </w:p>
    <w:p w:rsidR="0090355F" w:rsidRDefault="00E74478" w:rsidP="00756FD2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Информация о населенных пунктах, не имеющих регулярного автобусного сообщения с административным центром муниципального района за отчетный период представлена в нижеследующей таблице:</w:t>
      </w:r>
    </w:p>
    <w:p w:rsidR="0090355F" w:rsidRDefault="0090355F">
      <w:pPr>
        <w:widowControl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1"/>
        <w:gridCol w:w="3216"/>
        <w:gridCol w:w="5245"/>
      </w:tblGrid>
      <w:tr w:rsidR="0090355F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Населенный пункт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Среднегодовая численность населения, человек</w:t>
            </w:r>
          </w:p>
        </w:tc>
      </w:tr>
      <w:tr w:rsidR="0090355F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с.Малые </w:t>
            </w:r>
            <w:proofErr w:type="spellStart"/>
            <w:r>
              <w:rPr>
                <w:rFonts w:ascii="Times New Roman CYR" w:hAnsi="Times New Roman CYR" w:cs="Times New Roman CYR"/>
              </w:rPr>
              <w:t>Кныши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</w:p>
        </w:tc>
      </w:tr>
      <w:tr w:rsidR="0090355F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д.Малый </w:t>
            </w:r>
            <w:proofErr w:type="spellStart"/>
            <w:r>
              <w:rPr>
                <w:rFonts w:ascii="Times New Roman CYR" w:hAnsi="Times New Roman CYR" w:cs="Times New Roman CYR"/>
              </w:rPr>
              <w:t>Телек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</w:tr>
      <w:tr w:rsidR="0090355F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</w:rPr>
            </w:pPr>
          </w:p>
        </w:tc>
      </w:tr>
    </w:tbl>
    <w:p w:rsidR="0090355F" w:rsidRDefault="00E74478" w:rsidP="00550979">
      <w:pPr>
        <w:widowControl/>
        <w:spacing w:line="276" w:lineRule="auto"/>
        <w:ind w:firstLine="482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перспективе не планируется организовать автобусное сообщение с данными населенными пунктами </w:t>
      </w:r>
      <w:r w:rsidR="00550979">
        <w:rPr>
          <w:rFonts w:ascii="Times New Roman CYR" w:hAnsi="Times New Roman CYR" w:cs="Times New Roman CYR"/>
          <w:sz w:val="28"/>
          <w:szCs w:val="28"/>
        </w:rPr>
        <w:t>по причине</w:t>
      </w:r>
      <w:r>
        <w:rPr>
          <w:rFonts w:ascii="Times New Roman CYR" w:hAnsi="Times New Roman CYR" w:cs="Times New Roman CYR"/>
          <w:sz w:val="28"/>
          <w:szCs w:val="28"/>
        </w:rPr>
        <w:t xml:space="preserve"> не рентабельности</w:t>
      </w:r>
      <w:r w:rsidR="00550979">
        <w:rPr>
          <w:rFonts w:ascii="Times New Roman CYR" w:hAnsi="Times New Roman CYR" w:cs="Times New Roman CYR"/>
          <w:sz w:val="28"/>
          <w:szCs w:val="28"/>
        </w:rPr>
        <w:t xml:space="preserve"> данных маршрутов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55097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следовательно показатель сохранится на этом уровне до 2018 года.</w:t>
      </w:r>
    </w:p>
    <w:p w:rsidR="0090355F" w:rsidRDefault="00E74478" w:rsidP="00550979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Основное предприятие транспорта на территории района представлено филиалом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Краснотуранского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АТП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Идринская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автоколонна. Предприятие работает стабильно.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Количество автобусных маршрутов составляет 9 ед.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Протяженность автобусных маршрутов составляет 426 км.  Объем перевозок в  2014 году составил 5,68 тыс. человек, в 2015 году количество перевезенных (отправленных) пассажиров всеми видами транспорта составит 5,65 тыс.человек ввиду сокращения численности населения, к 2018 году по 1 варианту 6,1 тыс.чел, по второму варианту 6,2 тыс.чел.  Пассажирооборот в 2014 году составил 0,83  млн.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пасс.-км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>.</w:t>
      </w:r>
    </w:p>
    <w:p w:rsidR="0090355F" w:rsidRDefault="00E74478" w:rsidP="00603010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b/>
          <w:bCs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lastRenderedPageBreak/>
        <w:t xml:space="preserve">Объем перевезенных грузов в 2014 году составил 463,2  тыс.тонн, что выше 2013 года на 4,6 тонны, увеличение произошло за счет увеличения  объема перевезенных грузов предприятиями сельского хозяйства. Соответственно грузооборот автомобильного транспорта составил в 2014 году 6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млн.пасс.км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>, что выше уровня 2013 года на 1,18 %.</w:t>
      </w:r>
    </w:p>
    <w:p w:rsidR="00603010" w:rsidRDefault="00E74478" w:rsidP="00603010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Связь на территории района представлена единственным филиалом. Объем услуг связи, оказанных организациями связи в 2014 году равен 8969 тыс.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руб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>.,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что составило 101,19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% к уровню 2013 года. Увеличение объема услуг связи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связано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прежде всего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с увеличением пользователей сети интернет. В 2014 году осуществляет деятельность на территории района 4 оператора сотовой связи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Енисейтелеком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kern w:val="16"/>
          <w:sz w:val="28"/>
          <w:szCs w:val="28"/>
        </w:rPr>
        <w:t>Билайн</w:t>
      </w:r>
      <w:proofErr w:type="spellEnd"/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, МТС, Мегафон. </w:t>
      </w:r>
    </w:p>
    <w:p w:rsidR="0090355F" w:rsidRDefault="00E74478" w:rsidP="00603010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Населенные пункты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>,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где нет телефонной и сотовой связи оснащены таксофонами. Число телефонных аппаратов в 2014 году</w:t>
      </w:r>
      <w:r w:rsidR="00603010">
        <w:rPr>
          <w:rFonts w:ascii="Times New Roman CYR" w:hAnsi="Times New Roman CYR" w:cs="Times New Roman CYR"/>
          <w:kern w:val="16"/>
          <w:sz w:val="28"/>
          <w:szCs w:val="28"/>
        </w:rPr>
        <w:t xml:space="preserve"> составило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2865 шт. На территории района 15 отделений почтовой связи.</w:t>
      </w:r>
    </w:p>
    <w:p w:rsidR="0090355F" w:rsidRDefault="00E74478" w:rsidP="00550979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7.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Малое предпринимательство</w:t>
      </w:r>
    </w:p>
    <w:p w:rsidR="0090355F" w:rsidRDefault="00E74478" w:rsidP="0089622F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района зарегистрировано на 01 января 2015</w:t>
      </w:r>
      <w:r w:rsidR="00024501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</w:t>
      </w:r>
      <w:r w:rsidR="00024501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36 субъектов предпринимательской деятельности</w:t>
      </w:r>
      <w:r w:rsidR="0002450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юридических лиц  (за три последних года их число сократилось на 3 ед.) и 204 индивидуальных предпринимателя</w:t>
      </w:r>
      <w:r w:rsidR="0089622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без образования юридического лица (за три последних года их количество сократилось на 7 ед., но по сравнению с 2013 годом увеличилось на 2 ед.</w:t>
      </w:r>
      <w:r w:rsidR="0002450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благодаря действию программ поддержки малого бизнеса, где поддерживаются вновь созданные субъекты МБ).</w:t>
      </w:r>
    </w:p>
    <w:p w:rsidR="0090355F" w:rsidRDefault="00E74478" w:rsidP="0089622F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36 действующих малых и средних предприятий по отраслям экономики: 21 сельскохозяйственны</w:t>
      </w:r>
      <w:r w:rsidR="00024501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предприяти</w:t>
      </w:r>
      <w:r w:rsidR="00024501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(занимают 58,3 % в отраслевой структуре СМБ), 3 предприятия обрабатывающих производств (1 производство пищевых продуктов, 2 обработка древесины 8,3 % в структуре), 6 предприятий розничной торговли (16,7 % в отраслевой структуре), 1 транспорт и связь (2,8 % ), 5 по предоставлению коммунальных и социальных услуг (13,9%).</w:t>
      </w:r>
    </w:p>
    <w:p w:rsidR="0090355F" w:rsidRDefault="00E74478">
      <w:pPr>
        <w:widowControl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Распределение предприятий малого бизнеса по видам деятельности (ОКВЭД) в 201</w:t>
      </w:r>
      <w:r w:rsidR="00024501">
        <w:rPr>
          <w:rFonts w:ascii="Times New Roman CYR" w:hAnsi="Times New Roman CYR" w:cs="Times New Roman CYR"/>
          <w:sz w:val="28"/>
          <w:szCs w:val="28"/>
        </w:rPr>
        <w:t>4</w:t>
      </w:r>
    </w:p>
    <w:p w:rsidR="0090355F" w:rsidRDefault="00E74478">
      <w:pPr>
        <w:widowControl/>
        <w:ind w:firstLine="7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году.</w:t>
      </w:r>
    </w:p>
    <w:tbl>
      <w:tblPr>
        <w:tblW w:w="10269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5"/>
        <w:gridCol w:w="5896"/>
        <w:gridCol w:w="1744"/>
        <w:gridCol w:w="1904"/>
      </w:tblGrid>
      <w:tr w:rsidR="0090355F" w:rsidTr="00553C5A">
        <w:trPr>
          <w:trHeight w:val="630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Раздел ОКВЭД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Количество СМБ,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Доля, %</w:t>
            </w:r>
          </w:p>
        </w:tc>
      </w:tr>
      <w:tr w:rsidR="0090355F" w:rsidTr="00553C5A">
        <w:trPr>
          <w:trHeight w:val="64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РАЗДЕЛ А-01: Сельское хозяйство, охота и предоставление услуг в этих областях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58,3</w:t>
            </w:r>
          </w:p>
        </w:tc>
      </w:tr>
      <w:tr w:rsidR="0090355F" w:rsidTr="00553C5A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РАЗДЕЛ D: Обрабатывающие производства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8,3</w:t>
            </w:r>
          </w:p>
        </w:tc>
      </w:tr>
      <w:tr w:rsidR="0090355F" w:rsidTr="00553C5A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РАЗДЕЛ G: Оптовая и розничная торговля;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16,7</w:t>
            </w:r>
          </w:p>
        </w:tc>
      </w:tr>
      <w:tr w:rsidR="0090355F" w:rsidTr="00553C5A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4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РАЗДЕЛ I: Транспорт и связь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2,8</w:t>
            </w:r>
          </w:p>
        </w:tc>
      </w:tr>
      <w:tr w:rsidR="0090355F" w:rsidTr="00553C5A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РАЗДЕЛ O: Предоставление прочих коммунальных, социальных и персональных услуг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13,9</w:t>
            </w:r>
          </w:p>
        </w:tc>
      </w:tr>
      <w:tr w:rsidR="0090355F" w:rsidTr="00553C5A">
        <w:tc>
          <w:tcPr>
            <w:tcW w:w="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90355F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Итого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100</w:t>
            </w:r>
          </w:p>
        </w:tc>
      </w:tr>
    </w:tbl>
    <w:p w:rsidR="0090355F" w:rsidRDefault="0090355F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 w:rsidP="00024501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Большая доля субъектов малого предпринимательства приходится на предприятия сельского хозяйства – 58,3 %, от их общей численности, 8,3 % занято обрабатывающим производством, 16,7 % оптовой и розничной торговлей, 13,9 % предоставление прочих коммунальных, социальных и персональных услуг. За прошедшие три года, число предприятий по видам деятельности и предоставления услуг значительных изменений не претерпело. По прогнозу до 2018 года число предприятий останется на том же уровне 36 единиц, их прирост не планируется. 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Количество индивидуальных предпринимателей в 2014 году составило 199 ед</w:t>
      </w:r>
      <w:r w:rsidR="00024501">
        <w:rPr>
          <w:rFonts w:ascii="Times New Roman CYR" w:hAnsi="Times New Roman CYR" w:cs="Times New Roman CYR"/>
          <w:sz w:val="28"/>
          <w:szCs w:val="28"/>
        </w:rPr>
        <w:t>.,</w:t>
      </w:r>
      <w:r>
        <w:rPr>
          <w:rFonts w:ascii="Times New Roman CYR" w:hAnsi="Times New Roman CYR" w:cs="Times New Roman CYR"/>
          <w:sz w:val="28"/>
          <w:szCs w:val="28"/>
        </w:rPr>
        <w:t xml:space="preserve"> что ниже уровня 2013 года на 3 ед. Из 199 индивидуальных предпринимателей наибольший удельный вес в отраслевой структуре занимает розничная торговля. Структура индивидуальных предпринимателей по видам деятельности представлена в нижеследующей таблице.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9"/>
        <w:gridCol w:w="2268"/>
      </w:tblGrid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Вид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% от общего количества ИП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Розничная торговля, 115 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57,9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Разведение КРС,13ед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6,4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Выращивание зерновых, 7 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3,5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Лесозаготовки, 10 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Техническое обслуживание и ремонт автомобилей, 3ед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Деятельность такси,6 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Производство общестроительных работ, 5 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2,5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Ремонт обуви, 2ед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Ремонт бытовых изделий, техники,7ед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</w:t>
            </w:r>
          </w:p>
        </w:tc>
      </w:tr>
      <w:tr w:rsidR="0090355F">
        <w:trPr>
          <w:trHeight w:val="303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Прочие виды деятельности, 33ед</w:t>
            </w:r>
            <w:r w:rsidR="00024501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16,7</w:t>
            </w:r>
          </w:p>
        </w:tc>
      </w:tr>
    </w:tbl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Среднесписочная численность работников организаций малого бизнеса (юридических лиц) в 2014 году составила 591 чел., что выше уровня 2013 года на  44 чел, за счет отрасли сельского хозяйства. Среднесписочная численность работников у индивидуальных предпринимателей за 2014 год составила  290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чел., что ниже уровня 2013 года на 17 человек, за счет сокращения количества индивидуальных предпринимателей, а также наемных работников </w:t>
      </w:r>
      <w:r w:rsidR="00B82AED">
        <w:rPr>
          <w:rFonts w:ascii="Times New Roman CYR" w:hAnsi="Times New Roman CYR" w:cs="Times New Roman CYR"/>
          <w:sz w:val="28"/>
          <w:szCs w:val="28"/>
        </w:rPr>
        <w:t>по причине</w:t>
      </w:r>
      <w:r>
        <w:rPr>
          <w:rFonts w:ascii="Times New Roman CYR" w:hAnsi="Times New Roman CYR" w:cs="Times New Roman CYR"/>
          <w:sz w:val="28"/>
          <w:szCs w:val="28"/>
        </w:rPr>
        <w:t xml:space="preserve"> увеличения налогового бремени. 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Среднесписочная численность работников крестьянских (фермерских) хозяйств в 2014 году составила 25 чел</w:t>
      </w:r>
      <w:r w:rsidR="00690D6D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, что выше уровня 2013 года на 10 чел</w:t>
      </w:r>
      <w:r w:rsidR="00690D6D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, в результате увеличения </w:t>
      </w:r>
      <w:r w:rsidR="00690D6D">
        <w:rPr>
          <w:rFonts w:ascii="Times New Roman CYR" w:hAnsi="Times New Roman CYR" w:cs="Times New Roman CYR"/>
          <w:sz w:val="28"/>
          <w:szCs w:val="28"/>
        </w:rPr>
        <w:t xml:space="preserve">численности, зарегистрировавших деятельность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90D6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КФХ.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занятых в малом бизнесе от занятых в экономики всего  составляет 38,62 %. (занято в экономике 5947 чел в МБ 881 чел). 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списочного состава организаций малого бизнеса (юридических лиц) составила в 2014 году 12567,56 рублей, к 2018 году заработная плата увеличится до 15426,53 по 1 варианту и 16949,23 руб. по 2 варианту.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у индивидуальных предпринимателей составила в 2014 году 5595 рублей, к 2018 году заработная плата увеличится до 7556,3 руб. по 1 варианту и 7784,0 руб. по 2 варианту.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Оборот организаций малого бизнеса (юридических лиц) составил в 2014 году 416,76 млн.руб.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Выручка от продажи товаров, работ, услуг организациями малого бизнеса (юридических лиц) составила в 2014 году 416,7 млн.</w:t>
      </w:r>
      <w:r w:rsidR="00A206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 (за три последних года увеличение на 28,4 %).</w:t>
      </w:r>
    </w:p>
    <w:p w:rsidR="0090355F" w:rsidRDefault="00E74478" w:rsidP="00024501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Оборот розничной торговли субъектов малого предпринимательства составил в 2014 году 717,42 млн.руб., что выше уровня 2013 года на 7,4 % в действующих ценах. К 2018 году показатель увеличится до 770,97 млн.</w:t>
      </w:r>
      <w:r w:rsidR="00A206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 по 1 варианту и 793,24 млн. руб. по 2 варианту.</w:t>
      </w:r>
    </w:p>
    <w:p w:rsidR="0090355F" w:rsidRDefault="00E74478" w:rsidP="002074F4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организаций малого бизнеса составил в 2014 году 67,4 млн. руб. показатель увеличился за последние три года на 58,6 % или на 24,9 млн.</w:t>
      </w:r>
      <w:r w:rsidR="00A206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</w:t>
      </w:r>
    </w:p>
    <w:p w:rsidR="0090355F" w:rsidRDefault="00E74478" w:rsidP="002074F4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2014 году в рамках муниципальной программы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«Содействие в развитии и поддержка</w:t>
      </w:r>
      <w:r>
        <w:rPr>
          <w:rFonts w:ascii="Times New Roman CYR" w:hAnsi="Times New Roman CYR" w:cs="Times New Roman CYR"/>
          <w:sz w:val="28"/>
          <w:szCs w:val="28"/>
        </w:rPr>
        <w:t xml:space="preserve"> малого и среднего предпринимательства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районе» на 2014-2016 годы</w:t>
      </w:r>
      <w:r w:rsidR="006514D9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получили поддержку 10 предпринимателей, из них 9 предпринимателей на возмещение части затрат, связанных с приобретением и созданием основных средств и началом коммерческой деятельности</w:t>
      </w:r>
      <w:r w:rsidR="006514D9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сумме 1737,73 тыс.</w:t>
      </w:r>
      <w:r w:rsidR="00A206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 и один предприниматель на возмещение части затрат на уплату первого взноса (аванса) при заключении договоров лизинга оборудования в сумме 616 тыс.</w:t>
      </w:r>
      <w:r w:rsidR="00A2062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</w:t>
      </w:r>
    </w:p>
    <w:p w:rsidR="0090355F" w:rsidRDefault="00E74478" w:rsidP="002074F4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Из вновь созданных предпринимателей , которым оказана поддержка представлены следующими видами деятельности: 3 КФХ, 1 услуги по ремонту бытовой техники и компьютеров, 1 услуги по передачи данных и бухгалтерскому учету, 1 лесопереработка, 1 производство хлебобулочных изделий, 1 торговля. </w:t>
      </w:r>
    </w:p>
    <w:p w:rsidR="0090355F" w:rsidRDefault="00E74478" w:rsidP="002074F4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результате реализации мероприятий программы было организовано 14 новых рабочих мест, сохранено 4 рабочих места, привлечено инвестиций в район 3594,3 тыс.</w:t>
      </w:r>
      <w:r w:rsidR="002074F4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руб.</w:t>
      </w:r>
    </w:p>
    <w:p w:rsidR="0090355F" w:rsidRDefault="00E74478" w:rsidP="002074F4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Выполнение целевых показателей программы за 2014 год представлены в нижеследующей таблице: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1"/>
        <w:gridCol w:w="1145"/>
        <w:gridCol w:w="1276"/>
        <w:gridCol w:w="981"/>
      </w:tblGrid>
      <w:tr w:rsidR="0090355F" w:rsidRPr="00553C5A" w:rsidTr="00553C5A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both"/>
            </w:pPr>
            <w:r w:rsidRPr="00553C5A">
              <w:t>Наименование целевого показателя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2014 год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2014 год факт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% выполнения плана</w:t>
            </w:r>
          </w:p>
        </w:tc>
      </w:tr>
      <w:tr w:rsidR="0090355F" w:rsidRPr="00553C5A" w:rsidTr="00553C5A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</w:pPr>
            <w:r w:rsidRPr="00553C5A"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–консультационную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100</w:t>
            </w:r>
          </w:p>
        </w:tc>
      </w:tr>
      <w:tr w:rsidR="0090355F" w:rsidRPr="00553C5A" w:rsidTr="00553C5A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</w:pPr>
            <w:r w:rsidRPr="00553C5A">
              <w:t xml:space="preserve">  Количество созданных рабочих мест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14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233</w:t>
            </w:r>
          </w:p>
        </w:tc>
      </w:tr>
      <w:tr w:rsidR="0090355F" w:rsidRPr="00553C5A" w:rsidTr="00553C5A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</w:pPr>
            <w:r w:rsidRPr="00553C5A">
              <w:t xml:space="preserve">Количество сохраненных рабочих мест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80</w:t>
            </w:r>
          </w:p>
        </w:tc>
      </w:tr>
      <w:tr w:rsidR="0090355F" w:rsidRPr="00553C5A" w:rsidTr="00553C5A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</w:pPr>
            <w:r w:rsidRPr="00553C5A"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3594,3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Pr="00553C5A" w:rsidRDefault="00E74478">
            <w:pPr>
              <w:widowControl/>
              <w:jc w:val="center"/>
            </w:pPr>
            <w:r w:rsidRPr="00553C5A">
              <w:t>239,6</w:t>
            </w:r>
          </w:p>
        </w:tc>
      </w:tr>
    </w:tbl>
    <w:p w:rsidR="0090355F" w:rsidRPr="00553C5A" w:rsidRDefault="0090355F">
      <w:pPr>
        <w:widowControl/>
        <w:ind w:firstLine="567"/>
        <w:jc w:val="both"/>
        <w:rPr>
          <w:sz w:val="28"/>
          <w:szCs w:val="28"/>
        </w:rPr>
      </w:pPr>
    </w:p>
    <w:p w:rsidR="0090355F" w:rsidRPr="00553C5A" w:rsidRDefault="0090355F">
      <w:pPr>
        <w:rPr>
          <w:sz w:val="20"/>
          <w:szCs w:val="20"/>
        </w:rPr>
      </w:pP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 xml:space="preserve">8.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Внешнеэкономическая деятельность</w:t>
      </w:r>
    </w:p>
    <w:p w:rsidR="0090355F" w:rsidRDefault="0090355F">
      <w:pPr>
        <w:rPr>
          <w:rFonts w:ascii="Arial" w:hAnsi="Arial" w:cs="Arial"/>
          <w:sz w:val="20"/>
          <w:szCs w:val="20"/>
        </w:rPr>
      </w:pP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2074F4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 xml:space="preserve">9.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Результаты финансовой деятельности предприятий</w:t>
      </w:r>
    </w:p>
    <w:p w:rsidR="0090355F" w:rsidRDefault="00E74478" w:rsidP="002074F4">
      <w:pPr>
        <w:widowControl/>
        <w:spacing w:after="120"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2014 году 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сальдированный финансовый результат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по основным видам экономической деятельности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организаций сложился в сумме 39,98 млн.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рублей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на 9,12 млн.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ниже   уровня 2013  года,  на данном результате отразились итоги финансовой деятельности предприятий  сельского хозяйства. В общем объеме прибыли 91,7 % получено предприятиями сельского хозяйства (36,66 млн.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 xml:space="preserve"> р</w:t>
      </w:r>
      <w:r>
        <w:rPr>
          <w:rFonts w:ascii="Times New Roman CYR" w:hAnsi="Times New Roman CYR" w:cs="Times New Roman CYR"/>
          <w:kern w:val="20"/>
          <w:sz w:val="28"/>
          <w:szCs w:val="28"/>
        </w:rPr>
        <w:t>уб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>) и 4,4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% обрабатывающими предприятиями и предприятиями жилищно-коммунального хозяйства, 3,6 % предприятиями в сфере оптовой и розничной торговли.</w:t>
      </w:r>
    </w:p>
    <w:p w:rsidR="0090355F" w:rsidRDefault="00E74478" w:rsidP="002074F4">
      <w:pPr>
        <w:widowControl/>
        <w:spacing w:after="120"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Убытки получены по разделу А - сельское хозяйство - 1,23 млн. руб., 0,1  млн.руб. по разделу Е - распределение электроэнергии, газа и воды, в частности по предприятию, предоставляющему услуги холодного водоснабжения.</w:t>
      </w:r>
    </w:p>
    <w:p w:rsidR="0090355F" w:rsidRDefault="00E74478" w:rsidP="002074F4">
      <w:pPr>
        <w:widowControl/>
        <w:spacing w:after="120"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 Количество прибыльных организаций с  19 по итогам 2013 года, сократилось до 17,  в том числе предприятий сельского хозяйства с 13 до 10. </w:t>
      </w:r>
    </w:p>
    <w:p w:rsidR="0000516A" w:rsidRDefault="00E74478" w:rsidP="0000516A">
      <w:pPr>
        <w:widowControl/>
        <w:spacing w:after="120"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финансовом результате предприятий сельского хозяйства сказался факт снижения объёмов получения  субсидий из средств краевого и федерального бюджетов, хотя выручка от реализации продукции сельского хозяйства, возросла к уровню 2013 года на 5%, себестоимость,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реализованной продукции снизилась на 1,8 %.</w:t>
      </w:r>
    </w:p>
    <w:p w:rsidR="0090355F" w:rsidRDefault="00E74478" w:rsidP="0000516A">
      <w:pPr>
        <w:widowControl/>
        <w:spacing w:after="120"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Получено субсидий из бюджетов всех уровней  39,34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млн.</w:t>
      </w:r>
      <w:r w:rsidR="002074F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руб., что ниже уровня 2013 года на 10,29 млн. руб.</w:t>
      </w:r>
    </w:p>
    <w:p w:rsidR="0090355F" w:rsidRDefault="00E74478" w:rsidP="0000516A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прогнозируемом периоде, по оценке 2015 года, на достижении планового показателя, негативно скажется летняя засуха, часть посевов списаны, а более 90 %, в структуре прибыли, приходится на сельскохозяйственные предприятия. </w:t>
      </w:r>
    </w:p>
    <w:p w:rsidR="0090355F" w:rsidRDefault="00E74478" w:rsidP="0000516A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Изменение сальдированного финансового результата,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в положительную сторону, по основным видам экономической деятельности в дальнейшем зависит от стабильной работы предприятий сельского хозяйства, организаций розничной торговли и предприятий обрабатывающих производств.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10.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Бюджет муниципального образования</w:t>
      </w:r>
    </w:p>
    <w:p w:rsidR="0090355F" w:rsidRDefault="00E74478" w:rsidP="00F41DFA">
      <w:pPr>
        <w:widowControl/>
        <w:spacing w:line="276" w:lineRule="auto"/>
        <w:ind w:firstLine="708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Доходная база бюджета района в 2014 году составила 543,69 млн.</w:t>
      </w:r>
      <w:r w:rsidR="00F41DFA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руб</w:t>
      </w:r>
      <w:r w:rsidR="00F41DFA">
        <w:rPr>
          <w:rFonts w:ascii="Times New Roman CYR" w:hAnsi="Times New Roman CYR" w:cs="Times New Roman CYR"/>
          <w:kern w:val="16"/>
          <w:sz w:val="28"/>
          <w:szCs w:val="28"/>
        </w:rPr>
        <w:t>.,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что к уровню  2013 года составляет 92,75 %.</w:t>
      </w:r>
    </w:p>
    <w:p w:rsidR="0090355F" w:rsidRDefault="00E74478" w:rsidP="00F41DFA">
      <w:pPr>
        <w:widowControl/>
        <w:spacing w:line="276" w:lineRule="auto"/>
        <w:ind w:firstLine="708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По оценке 2015</w:t>
      </w:r>
      <w:r w:rsidR="007F6828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года доходная база бюджета составит 486,56 млн.</w:t>
      </w:r>
      <w:r w:rsidR="007F6828"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16"/>
          <w:sz w:val="28"/>
          <w:szCs w:val="28"/>
        </w:rPr>
        <w:t>руб.</w:t>
      </w:r>
      <w:r w:rsidR="007F6828">
        <w:rPr>
          <w:rFonts w:ascii="Times New Roman CYR" w:hAnsi="Times New Roman CYR" w:cs="Times New Roman CYR"/>
          <w:kern w:val="16"/>
          <w:sz w:val="28"/>
          <w:szCs w:val="28"/>
        </w:rPr>
        <w:t>,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без учета поступления краевых средств на реализацию муниципальных программ.</w:t>
      </w:r>
    </w:p>
    <w:p w:rsidR="0090355F" w:rsidRDefault="00E74478" w:rsidP="00F41DFA">
      <w:pPr>
        <w:widowControl/>
        <w:spacing w:line="276" w:lineRule="auto"/>
        <w:ind w:firstLine="708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Снижение собственной доходной базы обусловлено изменением норматива поступления НДФЛ в консолидированный бюджет района со 100 %  на 30 %.  </w:t>
      </w:r>
    </w:p>
    <w:p w:rsidR="0090355F" w:rsidRDefault="00E74478" w:rsidP="00F41DFA">
      <w:pPr>
        <w:widowControl/>
        <w:spacing w:line="276" w:lineRule="auto"/>
        <w:ind w:firstLine="708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Налоговые и неналоговые доходы бюджета в 2014году составили 92,02 млн.рублей, рост к уровню 2013 года составляет 108,2 %, прирост обусловлен увеличением суммы начисления и поступления  налога на  доходы физических лиц, единого налога на вменённый доход, а также повышением уровня собираемости платежей. Доля собственных доходов в бюджете муниципального образования</w:t>
      </w:r>
      <w:r w:rsidR="007F6828">
        <w:rPr>
          <w:rFonts w:ascii="Times New Roman CYR" w:hAnsi="Times New Roman CYR" w:cs="Times New Roman CYR"/>
          <w:kern w:val="16"/>
          <w:sz w:val="28"/>
          <w:szCs w:val="28"/>
        </w:rPr>
        <w:t>,</w:t>
      </w: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 </w:t>
      </w:r>
      <w:r w:rsidR="007F6828">
        <w:rPr>
          <w:rFonts w:ascii="Times New Roman CYR" w:hAnsi="Times New Roman CYR" w:cs="Times New Roman CYR"/>
          <w:kern w:val="16"/>
          <w:sz w:val="28"/>
          <w:szCs w:val="28"/>
        </w:rPr>
        <w:t xml:space="preserve">по итогам 2014 года, </w:t>
      </w:r>
      <w:r>
        <w:rPr>
          <w:rFonts w:ascii="Times New Roman CYR" w:hAnsi="Times New Roman CYR" w:cs="Times New Roman CYR"/>
          <w:kern w:val="16"/>
          <w:sz w:val="28"/>
          <w:szCs w:val="28"/>
        </w:rPr>
        <w:t>составляет 16,9 %, что составляет к уровню 2013 года 115 %.</w:t>
      </w:r>
    </w:p>
    <w:p w:rsidR="0090355F" w:rsidRDefault="00E74478" w:rsidP="00F41DFA">
      <w:pPr>
        <w:widowControl/>
        <w:spacing w:line="276" w:lineRule="auto"/>
        <w:ind w:firstLine="708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Основная сумма поступлений собственных доходов  приходится на подоходный налог с физических лиц,  поступления по единому налогу на вменённый налог для отдельных видов деятельности, доходы от использования имущества, находящегося в муниципальной собственности, доходы от оказания платных услуг. </w:t>
      </w:r>
    </w:p>
    <w:p w:rsidR="0090355F" w:rsidRDefault="00E74478" w:rsidP="00F41DFA">
      <w:pPr>
        <w:widowControl/>
        <w:spacing w:line="276" w:lineRule="auto"/>
        <w:ind w:firstLine="708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В структуре доходов бюджета безвозмездные поступления составляют по итогам 2013 года   – 83,1 %, ожидаемый результат  2015 года - 91,3 %. </w:t>
      </w:r>
    </w:p>
    <w:p w:rsidR="0090355F" w:rsidRDefault="00E74478">
      <w:pPr>
        <w:pStyle w:val="5"/>
        <w:widowControl/>
        <w:spacing w:before="240" w:after="6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Налог на прибыль</w:t>
      </w:r>
    </w:p>
    <w:p w:rsidR="0090355F" w:rsidRDefault="00E74478">
      <w:pPr>
        <w:widowControl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За 12 месяцев 2014 года, в консолидированный бюджет края, поступило 177,13 тыс. руб. налога на прибыль организаций, в том числе в консолидированный бюджет района - 17,71 тыс. руб.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Основными плательщиками налога на прибыль являются предприятие в отрасли лесного хозяйства - 60,5 % от общей суммы поступления, организации в сфере оказания социальных услуг и услуг здравоохранения - 22,3 %,   16,4 % приходится на долю налога на прибыль в сфере торговли.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Ожидаемое поступление доходов от налога на прибыль в бюджет района по итогам 2015 года - 22,19 тыс. руб., в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пргнозном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периоде, при неизменных налогоплательщиках,  этот показатель несколько сократится, по причине снижения норматива поступления.   </w:t>
      </w:r>
    </w:p>
    <w:p w:rsidR="0090355F" w:rsidRDefault="00E74478">
      <w:pPr>
        <w:widowControl/>
        <w:ind w:right="-30"/>
        <w:jc w:val="both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Единый налог на вмененный доход 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За 12 месяцев 2014 года поступило ЕНВД 4159,52 тыс.</w:t>
      </w:r>
      <w:r w:rsidR="007F6828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r w:rsidR="007F6828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что составляет 107,3 % к уровню 2013 года. По оценке 2015 поступление налога должно составить 4464,4 тыс. руб. </w:t>
      </w:r>
    </w:p>
    <w:p w:rsidR="0090355F" w:rsidRDefault="007F682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</w:t>
      </w:r>
      <w:r w:rsidR="00E74478">
        <w:rPr>
          <w:rFonts w:ascii="Times New Roman CYR" w:hAnsi="Times New Roman CYR" w:cs="Times New Roman CYR"/>
          <w:kern w:val="20"/>
          <w:sz w:val="28"/>
          <w:szCs w:val="28"/>
        </w:rPr>
        <w:t xml:space="preserve">величение сумм начисления и поступления налога связано с уточнением торговых площадей, вводом новых площадей, уже осуществляющими деятельность предпринимателями, а также проведения работы по вопросу погашения задолженности по недоимке. 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Увеличение численности налогоплательщиков не предвидится, наметилась тенденция перехода части плательщиков ЕНВД на упрощённую и патентную системы налогообложения. 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связи с оттоком населения из сельских поселений коэффициент базовой доходности К2 корректирован по одному и то муже виду деятельности в зависимости от места ее осуществления. Данный факт  связан с удалённостью торговых объектов и объектов общественного питания от районного центра, численностью населения сельских поселений и его платежеспособностью. Основной целью данного подхода является снижение налогового бремени на предпринимателей, осуществляющих бизнес в отдаленных сельских поселениях.</w:t>
      </w:r>
    </w:p>
    <w:p w:rsidR="0090355F" w:rsidRDefault="00E74478" w:rsidP="007F6828">
      <w:pPr>
        <w:widowControl/>
        <w:spacing w:line="276" w:lineRule="auto"/>
        <w:ind w:right="-30"/>
        <w:jc w:val="both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Налог на доходы физических лиц</w:t>
      </w:r>
    </w:p>
    <w:p w:rsidR="0090355F" w:rsidRDefault="00E74478" w:rsidP="007F6828">
      <w:pPr>
        <w:widowControl/>
        <w:spacing w:line="276" w:lineRule="auto"/>
        <w:ind w:right="-30"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2014 года поступило налога на доходы физических лиц 78677,72 тыс. руб., увеличение к уровню 2013 года составляет 6,1% и в доле собственных доходов – 85,5 %. На сумму поступления данного налога оказало влияние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увеличение уровня заработной платы работников бюджетной сферы, а также уровень доходов работников обособленных предприятий и организаций, осуществляющих деятельность на территории района. По оценке 2015 года сумма поступления доходов от НДФЛ в консолидированный бюджет края должна достигнуть показателя 88721,14тыс. руб., в том числе 29137,95 тыс. руб. в консолидированный бюджет района, что составит 42,4 % от доли собственных доходов. </w:t>
      </w:r>
    </w:p>
    <w:p w:rsidR="0090355F" w:rsidRDefault="00E74478" w:rsidP="007F6828">
      <w:pPr>
        <w:pStyle w:val="5"/>
        <w:widowControl/>
        <w:spacing w:before="240" w:after="60" w:line="276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Земельный налог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Фактическое поступление налога на землю по итогам 2014 года–1927,46 тыс. руб., что составляет  к уровню 2013 года  125,5 %. Доля в сумме собственных доходов с 1,78 %, по итогам 2013 года, возросла до 2,1 %. 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Прирост суммы поступления налога обусловлен не только поступлением недоимки за 2013 год, а также увеличением площадей, используемых сельскохозяйственными землепользователями.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оценке 2015 года сумма земельного налога увеличится на 2,5 % к уровню 2014 года, а  также будет незначительно, но динамично возрастать, за счёт увеличения используемых площадей   сельхозугодий. 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Сумма 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неналоговых доходов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составила 3736,68 тыс. руб., что составляет к уровню 2013 года 97,5 %, доля в собственных доходах – 4,1%. 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предварительной оценке 2015 года сумма поступления  неналоговых доходов  должна составить 5053,6 тыс. руб. Прирост планируется обеспечить за счёт поступлений  от использования имущества, находящегося в муниципальной собственности, увеличения доходов от оказания платных услуг.</w:t>
      </w:r>
    </w:p>
    <w:p w:rsidR="0090355F" w:rsidRDefault="00E74478" w:rsidP="007F6828">
      <w:pPr>
        <w:widowControl/>
        <w:spacing w:line="276" w:lineRule="auto"/>
        <w:ind w:right="-30"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Расходы бюджета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района за 2014 год составили 566343,74 тыс. руб</w:t>
      </w:r>
      <w:r w:rsidR="00A07F10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>, что составляет к уровню 2013 года 122,7 %.</w:t>
      </w:r>
    </w:p>
    <w:p w:rsidR="0090355F" w:rsidRPr="00553C5A" w:rsidRDefault="00E74478" w:rsidP="00553C5A">
      <w:pPr>
        <w:pStyle w:val="5"/>
        <w:widowControl/>
        <w:spacing w:before="240" w:after="60" w:line="276" w:lineRule="auto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Расходы консолидированного бюджета на развитие и поддержку субъектов малого предпринимательства составили 2353,9, тыс. руб., что к уровню 2013 года составляет 80,9%,  понижение показателя обусловлено не</w:t>
      </w:r>
      <w:r w:rsidR="0046446F" w:rsidRPr="00553C5A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>освоением</w:t>
      </w:r>
      <w:r w:rsidR="0046446F" w:rsidRPr="00553C5A">
        <w:rPr>
          <w:rFonts w:ascii="Times New Roman CYR" w:hAnsi="Times New Roman CYR" w:cs="Times New Roman CYR"/>
          <w:iCs/>
          <w:sz w:val="28"/>
          <w:szCs w:val="28"/>
        </w:rPr>
        <w:t>,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 xml:space="preserve"> выделенных средств по лизингу, по причине их поступления в поздние сроки.</w:t>
      </w:r>
    </w:p>
    <w:p w:rsidR="0090355F" w:rsidRPr="00553C5A" w:rsidRDefault="00E74478" w:rsidP="00553C5A">
      <w:pPr>
        <w:pStyle w:val="5"/>
        <w:widowControl/>
        <w:spacing w:before="240" w:after="60" w:line="276" w:lineRule="auto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Расходы консолидированного бюджета на дорожное хозяйство - 2945,0 тыс. руб., сократились к фактическим затратам 2013 года на 53,2 %, в бюджете 2015 года на эти цели предусмотрено 9340,99 тыс. руб.</w:t>
      </w:r>
    </w:p>
    <w:p w:rsidR="0090355F" w:rsidRPr="00553C5A" w:rsidRDefault="00E74478" w:rsidP="00553C5A">
      <w:pPr>
        <w:pStyle w:val="5"/>
        <w:widowControl/>
        <w:spacing w:before="240" w:after="60" w:line="276" w:lineRule="auto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Фактиче</w:t>
      </w:r>
      <w:r w:rsidR="007F6828" w:rsidRPr="00553C5A">
        <w:rPr>
          <w:rFonts w:ascii="Times New Roman CYR" w:hAnsi="Times New Roman CYR" w:cs="Times New Roman CYR"/>
          <w:iCs/>
          <w:sz w:val="28"/>
          <w:szCs w:val="28"/>
        </w:rPr>
        <w:t>с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 xml:space="preserve">кий объём средств расходов консолидированного бюджета на дошкольное образование по итогам 2014 года составил 47418,95 тыс. руб., 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lastRenderedPageBreak/>
        <w:t>увеличение к уровню 2013 года составляет 65,9 %, по оценке 2015 года расходы на данные цели должны составить 34316,67 тыс. руб. Р</w:t>
      </w:r>
      <w:r w:rsidR="007F6828" w:rsidRPr="00553C5A">
        <w:rPr>
          <w:rFonts w:ascii="Times New Roman CYR" w:hAnsi="Times New Roman CYR" w:cs="Times New Roman CYR"/>
          <w:iCs/>
          <w:sz w:val="28"/>
          <w:szCs w:val="28"/>
        </w:rPr>
        <w:t>о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 xml:space="preserve">ст </w:t>
      </w:r>
      <w:r w:rsidR="007F6828" w:rsidRPr="00553C5A">
        <w:rPr>
          <w:rFonts w:ascii="Times New Roman CYR" w:hAnsi="Times New Roman CYR" w:cs="Times New Roman CYR"/>
          <w:iCs/>
          <w:sz w:val="28"/>
          <w:szCs w:val="28"/>
        </w:rPr>
        <w:t xml:space="preserve"> 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>расходов на дошкольное образование обусловлен увеличением заработной платы младшему и среднему персоналу, а также проведением ремонт</w:t>
      </w:r>
      <w:r w:rsidR="007F6828" w:rsidRPr="00553C5A">
        <w:rPr>
          <w:rFonts w:ascii="Times New Roman CYR" w:hAnsi="Times New Roman CYR" w:cs="Times New Roman CYR"/>
          <w:iCs/>
          <w:sz w:val="28"/>
          <w:szCs w:val="28"/>
        </w:rPr>
        <w:t>н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>ых работ капитального характера, с целью открытия дополнительных групп в действу</w:t>
      </w:r>
      <w:r w:rsidR="007F6828" w:rsidRPr="00553C5A">
        <w:rPr>
          <w:rFonts w:ascii="Times New Roman CYR" w:hAnsi="Times New Roman CYR" w:cs="Times New Roman CYR"/>
          <w:iCs/>
          <w:sz w:val="28"/>
          <w:szCs w:val="28"/>
        </w:rPr>
        <w:t>ю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>щих учреждениях, а также реконструкция зданий под открытие в них детсадов.</w:t>
      </w:r>
    </w:p>
    <w:p w:rsidR="0090355F" w:rsidRPr="00553C5A" w:rsidRDefault="00E74478" w:rsidP="00553C5A">
      <w:pPr>
        <w:pStyle w:val="5"/>
        <w:widowControl/>
        <w:spacing w:before="240" w:after="60" w:line="276" w:lineRule="auto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Расходы консолидированного бюджета на общее образование составили 235133,12 тыс. руб., что выше уровня 2013 года на 8,4%, по оценке 2015 года, расходы на общее образование составят 271 26,39 тыс. руб.</w:t>
      </w:r>
    </w:p>
    <w:p w:rsidR="0090355F" w:rsidRPr="00553C5A" w:rsidRDefault="00E74478" w:rsidP="00553C5A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Расходы консолидированного бюджета на дополнительное образование с 13206,0 тыс. руб. в 2013 году возросли до 15776,93 тыс. руб. по итогам 2014 года, в бюджете 2015 года на эти цели предусмотрено 18845,93 тыс. руб. - увеличение расходов связано с ростом тарифов на отопление и освещение, а также плановым повышением заработной платы педагогическому составу.</w:t>
      </w:r>
    </w:p>
    <w:p w:rsidR="0090355F" w:rsidRPr="00553C5A" w:rsidRDefault="00E74478" w:rsidP="00553C5A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Расходы консолидированного бюджета на жилищно-коммунальное хозяйство с 21351,</w:t>
      </w:r>
      <w:r w:rsidR="00F80F1D" w:rsidRPr="00553C5A">
        <w:rPr>
          <w:rFonts w:ascii="Times New Roman CYR" w:hAnsi="Times New Roman CYR" w:cs="Times New Roman CYR"/>
          <w:iCs/>
          <w:sz w:val="28"/>
          <w:szCs w:val="28"/>
        </w:rPr>
        <w:t>0 тыс. руб.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 xml:space="preserve"> по итогам 2013 года сократились до 15146,0 тыс. руб. по итогам 2014 года, по оценке 2015 года составят 7376,59  тыс. руб.</w:t>
      </w:r>
    </w:p>
    <w:p w:rsidR="0090355F" w:rsidRPr="00553C5A" w:rsidRDefault="00E74478" w:rsidP="00553C5A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Суммы расходов на жилищно-коммунальное хозяйство находятся в прямой зависимости от объёмов субвенции на во</w:t>
      </w:r>
      <w:r w:rsidR="00F80F1D" w:rsidRPr="00553C5A">
        <w:rPr>
          <w:rFonts w:ascii="Times New Roman CYR" w:hAnsi="Times New Roman CYR" w:cs="Times New Roman CYR"/>
          <w:iCs/>
          <w:sz w:val="28"/>
          <w:szCs w:val="28"/>
        </w:rPr>
        <w:t>з</w:t>
      </w:r>
      <w:r w:rsidRPr="00553C5A">
        <w:rPr>
          <w:rFonts w:ascii="Times New Roman CYR" w:hAnsi="Times New Roman CYR" w:cs="Times New Roman CYR"/>
          <w:iCs/>
          <w:sz w:val="28"/>
          <w:szCs w:val="28"/>
        </w:rPr>
        <w:t xml:space="preserve">мещение расходов платы граждан за коммунальные услуги и выделения средств по программе "Повышение устойчивости объектов жизнеобеспечения".   </w:t>
      </w:r>
    </w:p>
    <w:p w:rsidR="0090355F" w:rsidRPr="00553C5A" w:rsidRDefault="00E74478" w:rsidP="00553C5A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Расходы консолидированного бюджета на культуру составили 56453,0 тыс. руб., выше расходов по итогам 2013 года на 9,3 %.</w:t>
      </w:r>
    </w:p>
    <w:p w:rsidR="0090355F" w:rsidRPr="00553C5A" w:rsidRDefault="00E74478" w:rsidP="00553C5A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iCs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>По итогам 2014 года дефицит  бюджета составил - 22656,1 тыс. руб., оценка 2014 года  - дефицит 50012,76 тыс. руб.</w:t>
      </w:r>
    </w:p>
    <w:p w:rsidR="0090355F" w:rsidRPr="00553C5A" w:rsidRDefault="00E74478" w:rsidP="00553C5A">
      <w:pPr>
        <w:widowControl/>
        <w:spacing w:line="276" w:lineRule="auto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 w:rsidRPr="00553C5A">
        <w:rPr>
          <w:rFonts w:ascii="Times New Roman CYR" w:hAnsi="Times New Roman CYR" w:cs="Times New Roman CYR"/>
          <w:iCs/>
          <w:sz w:val="28"/>
          <w:szCs w:val="28"/>
        </w:rPr>
        <w:t xml:space="preserve">По итогам 2014 года расходы бюджета должны составить 536569,5 тыс. руб. </w:t>
      </w:r>
    </w:p>
    <w:p w:rsidR="0090355F" w:rsidRPr="00553C5A" w:rsidRDefault="0090355F" w:rsidP="007F6828">
      <w:pPr>
        <w:spacing w:line="276" w:lineRule="auto"/>
        <w:rPr>
          <w:rFonts w:ascii="Arial" w:hAnsi="Arial" w:cs="Arial"/>
          <w:sz w:val="16"/>
          <w:szCs w:val="16"/>
        </w:rPr>
      </w:pPr>
    </w:p>
    <w:p w:rsidR="0090355F" w:rsidRDefault="0090355F" w:rsidP="007F6828">
      <w:pPr>
        <w:spacing w:line="276" w:lineRule="auto"/>
        <w:rPr>
          <w:rFonts w:ascii="Arial" w:hAnsi="Arial" w:cs="Arial"/>
          <w:sz w:val="16"/>
          <w:szCs w:val="16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Общественное питание</w:t>
      </w:r>
    </w:p>
    <w:p w:rsidR="00EA04C8" w:rsidRDefault="00EA04C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0355F" w:rsidRDefault="00E74478" w:rsidP="00EA04C8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функционирует 1 столовая, 3 кафе, которые осуществляют деятельность в сфере общественного питания. Общее количество посадочных мест – 140. Оборот общественного питания в 2014 году составил  9,693 млн. рублей,</w:t>
      </w:r>
      <w:r>
        <w:rPr>
          <w:rFonts w:ascii="Times New Roman CYR" w:hAnsi="Times New Roman CYR" w:cs="Times New Roman CYR"/>
          <w:kern w:val="20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темп роста оборота общественного питания в сопоставимых ценах  к уровню 2013 году составляет 99 %, в 2015 году оборот общественного питания составит 10,4 млн. рублей (темп роста оборота общественного питания в сопоставимых ценах составит 91,95 %), в 2016 году возрастет и достигнет 10,65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млн. рублей по 1 варианту и  10,8 млн.руб.по второму варианту. К 2018 году данный показатель увеличится до 12,22 млн.</w:t>
      </w:r>
      <w:r w:rsidR="00A07F10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</w:t>
      </w:r>
      <w:r w:rsidR="00A07F10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по 1 варианту и до 12,67 млн.</w:t>
      </w:r>
      <w:r w:rsidR="0046446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 по 2 варианту. Увеличение объема оборота общественного питания связано с увеличением цен на продукты питания.</w:t>
      </w:r>
    </w:p>
    <w:p w:rsidR="0090355F" w:rsidRDefault="00E74478" w:rsidP="00EA04C8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Предприятия, осуществляющие свою деятельность в данной сфере услуг, относятся к частной форме собственности. Увеличения предприятий общественного питания не  ожидается.</w:t>
      </w:r>
    </w:p>
    <w:p w:rsidR="0090355F" w:rsidRDefault="0090355F">
      <w:pPr>
        <w:rPr>
          <w:rFonts w:ascii="Arial" w:hAnsi="Arial" w:cs="Arial"/>
          <w:sz w:val="20"/>
          <w:szCs w:val="20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12.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Розничная торговля</w:t>
      </w:r>
    </w:p>
    <w:p w:rsidR="0090355F" w:rsidRDefault="00E74478" w:rsidP="0046446F">
      <w:pPr>
        <w:widowControl/>
        <w:spacing w:after="120" w:line="276" w:lineRule="auto"/>
        <w:ind w:firstLine="36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Оборот розничной торговли в 2014 году составил 717,42 млн. рублей, темп роста оборота розничной торговли в сопоставимых ценах составил 100,84 %, в 2015 году  оборот розничной торговли достигнет 762,38 млн. рублей, в пересчете на сопоставимые цены темпа роста составит 93,22 %, к 2018 г оборот составит 770,97 млн. рублей по 1 варианту и 793,24 млн. руб.по второму варианту с темпом роста 95,69 % и 96,4 % по вариантам соответственно. </w:t>
      </w:r>
    </w:p>
    <w:p w:rsidR="0090355F" w:rsidRDefault="00E74478" w:rsidP="0046446F">
      <w:pPr>
        <w:widowControl/>
        <w:spacing w:after="120" w:line="276" w:lineRule="auto"/>
        <w:ind w:firstLine="36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Доля продовольственных товаров в 2014 году составляет в общем обороте 52 %, и останется неизменной до 2018 года, доля непродовольственных товаров по годам составит 48% ежегодно. </w:t>
      </w:r>
    </w:p>
    <w:p w:rsidR="0090355F" w:rsidRDefault="00E74478" w:rsidP="0046446F">
      <w:pPr>
        <w:widowControl/>
        <w:spacing w:after="120" w:line="276" w:lineRule="auto"/>
        <w:ind w:firstLine="36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Розничная торговая сеть района представлена в 2014 году 101 магазинами, что составляет к уровню 2013 года 90,9 %, за счет того что 10 магазинов прекратили свою деятельность в конце 2014 года. Общая площадь торговых залов магазинов в 2014 году составила 5134,3  м2. , что ниже уровня 2013 года 371,9 м2. </w:t>
      </w:r>
    </w:p>
    <w:p w:rsidR="0090355F" w:rsidRDefault="00E74478" w:rsidP="0046446F">
      <w:pPr>
        <w:widowControl/>
        <w:spacing w:after="120"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       Основной объем продаж приходится на торговлю с частной формой собственности и составляет около 70 %</w:t>
      </w:r>
      <w:r w:rsidR="0046446F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от общего оборота розничной торговли, </w:t>
      </w:r>
      <w:r w:rsidR="0046446F">
        <w:rPr>
          <w:rFonts w:ascii="Times New Roman CYR" w:hAnsi="Times New Roman CYR" w:cs="Times New Roman CYR"/>
          <w:kern w:val="20"/>
          <w:sz w:val="28"/>
          <w:szCs w:val="28"/>
        </w:rPr>
        <w:t>на пред</w:t>
      </w:r>
      <w:r>
        <w:rPr>
          <w:rFonts w:ascii="Times New Roman CYR" w:hAnsi="Times New Roman CYR" w:cs="Times New Roman CYR"/>
          <w:kern w:val="20"/>
          <w:sz w:val="28"/>
          <w:szCs w:val="28"/>
        </w:rPr>
        <w:t>приятие (ПО</w:t>
      </w:r>
      <w:r w:rsidR="0046446F">
        <w:rPr>
          <w:rFonts w:ascii="Times New Roman CYR" w:hAnsi="Times New Roman CYR" w:cs="Times New Roman CYR"/>
          <w:kern w:val="20"/>
          <w:sz w:val="28"/>
          <w:szCs w:val="28"/>
        </w:rPr>
        <w:t xml:space="preserve"> «</w:t>
      </w:r>
      <w:proofErr w:type="spellStart"/>
      <w:r w:rsidR="0046446F">
        <w:rPr>
          <w:rFonts w:ascii="Times New Roman CYR" w:hAnsi="Times New Roman CYR" w:cs="Times New Roman CYR"/>
          <w:kern w:val="20"/>
          <w:sz w:val="28"/>
          <w:szCs w:val="28"/>
        </w:rPr>
        <w:t>Идринское</w:t>
      </w:r>
      <w:proofErr w:type="spellEnd"/>
      <w:r w:rsidR="0046446F">
        <w:rPr>
          <w:rFonts w:ascii="Times New Roman CYR" w:hAnsi="Times New Roman CYR" w:cs="Times New Roman CYR"/>
          <w:kern w:val="20"/>
          <w:sz w:val="28"/>
          <w:szCs w:val="28"/>
        </w:rPr>
        <w:t>»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) </w:t>
      </w:r>
      <w:r w:rsidR="0046446F">
        <w:rPr>
          <w:rFonts w:ascii="Times New Roman CYR" w:hAnsi="Times New Roman CYR" w:cs="Times New Roman CYR"/>
          <w:kern w:val="20"/>
          <w:sz w:val="28"/>
          <w:szCs w:val="28"/>
        </w:rPr>
        <w:t xml:space="preserve">приходится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20 %. </w:t>
      </w:r>
    </w:p>
    <w:p w:rsidR="0090355F" w:rsidRDefault="00E74478" w:rsidP="0046446F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 2012 года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с.Идринское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ул.Октябрьская 106 организована </w:t>
      </w:r>
      <w:r w:rsidR="00DE00A1">
        <w:rPr>
          <w:rFonts w:ascii="Times New Roman CYR" w:hAnsi="Times New Roman CYR" w:cs="Times New Roman CYR"/>
          <w:sz w:val="28"/>
          <w:szCs w:val="28"/>
        </w:rPr>
        <w:t>постоянно действующая ярмарка</w:t>
      </w:r>
      <w:r>
        <w:rPr>
          <w:rFonts w:ascii="Times New Roman CYR" w:hAnsi="Times New Roman CYR" w:cs="Times New Roman CYR"/>
          <w:sz w:val="28"/>
          <w:szCs w:val="28"/>
        </w:rPr>
        <w:t xml:space="preserve">, согласно постановлению администрации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 от 26.12.2012 № 246-п.</w:t>
      </w:r>
    </w:p>
    <w:p w:rsidR="0090355F" w:rsidRDefault="00E74478" w:rsidP="0046446F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 вышеуказанного времени по данному адресу был расположен рынок, который действовал с 2007 года, согласно разрешению на право организации розничного рынка (прилагается).  В связи с изменениями в действующем законодательстве рынок был реорганизован в ярмарку, следовательно</w:t>
      </w:r>
      <w:r w:rsidR="00DE00A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права населения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сельсовета не были нарушены.</w:t>
      </w:r>
    </w:p>
    <w:p w:rsidR="00553C5A" w:rsidRDefault="00553C5A" w:rsidP="0046446F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13.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Платные услуги населению</w:t>
      </w:r>
    </w:p>
    <w:p w:rsidR="0090355F" w:rsidRDefault="00E74478" w:rsidP="00D456D6">
      <w:pPr>
        <w:widowControl/>
        <w:spacing w:after="120"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платных услуг, оказанных населению</w:t>
      </w:r>
      <w:r w:rsidR="00D456D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2014 году составил 43,2 млн.</w:t>
      </w:r>
      <w:r w:rsidR="00D456D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руб. Темп роста объема платных услуг, оказанных населению, в сопоставимых ценах за 2014 год составил 101,16 %.</w:t>
      </w:r>
    </w:p>
    <w:p w:rsidR="0090355F" w:rsidRDefault="00E74478" w:rsidP="00D456D6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структуре объема платных услуг наибольший удельный вес занимают коммунальные услуги – 28,8 %, на втором месте услуги связи -23,8 %, на третьем месте жилищные платные услуги.</w:t>
      </w:r>
    </w:p>
    <w:p w:rsidR="0090355F" w:rsidRDefault="00E74478" w:rsidP="00D456D6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2015 году объем платных услуг, оказанных населению ожидается в объеме 45,4 млн.руб. Темп роста объема платных услуг, оказанных населению, в сопоставимых ценах составит 95,85 %. К 2018 году объем платных услуг достигнет уровня 56,71 млн.руб. по 1 варианту и 57,98 млн.руб. по 2 варианту. Темп роста составит 101,8 % и 102,66 % по 1 и 2 варианту соответственно.</w:t>
      </w:r>
    </w:p>
    <w:p w:rsidR="0090355F" w:rsidRDefault="00E74478" w:rsidP="00D456D6">
      <w:pPr>
        <w:widowControl/>
        <w:spacing w:after="120"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>Основными предприятиями</w:t>
      </w:r>
      <w:r w:rsidR="00D456D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оказывающими платные услуги</w:t>
      </w:r>
      <w:r w:rsidR="00D456D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районе являются:</w:t>
      </w:r>
    </w:p>
    <w:p w:rsidR="0090355F" w:rsidRDefault="00E74478" w:rsidP="00D456D6">
      <w:pPr>
        <w:widowControl/>
        <w:spacing w:after="120"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предприятия пассажирского транспорта -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Краснотуранское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АТП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Идринская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автоколонна, ООО «Лань-такси», грузоперевозки - сельскохозяйственные предприятия района;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услуги связи филиал АО «Электросвязь» г.</w:t>
      </w:r>
      <w:r w:rsidR="00D456D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Минусинск;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жилищно-коммунальные услуги  ЗАО «Заря», МП </w:t>
      </w:r>
      <w:r w:rsidRPr="004928D9">
        <w:rPr>
          <w:kern w:val="20"/>
          <w:sz w:val="28"/>
          <w:szCs w:val="28"/>
        </w:rPr>
        <w:t>"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Служба благоустройства</w:t>
      </w:r>
      <w:r w:rsidRPr="004928D9">
        <w:rPr>
          <w:kern w:val="20"/>
          <w:sz w:val="28"/>
          <w:szCs w:val="28"/>
        </w:rPr>
        <w:t>"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системы образования – дошкольные учреждения, РОСТО, управление образования;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учреждений культуры – отдел культуры, спорта и молодежной политики администрации района, библиотеки, дома культуры;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медицинские – центральная районная больница и ее подразделения, 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ветеринарные – ветеринарный  участок и его подразделения в селах, 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ритуальные услуги ИП Гаврилин В.Н.;</w:t>
      </w:r>
    </w:p>
    <w:p w:rsidR="0090355F" w:rsidRDefault="00E74478" w:rsidP="00D456D6">
      <w:pPr>
        <w:widowControl/>
        <w:spacing w:line="276" w:lineRule="auto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другие услуги – платные услуги управления социальной защиты населения и его подразделений. </w:t>
      </w:r>
    </w:p>
    <w:p w:rsidR="0090355F" w:rsidRDefault="0090355F" w:rsidP="00D456D6">
      <w:pPr>
        <w:spacing w:line="276" w:lineRule="auto"/>
        <w:rPr>
          <w:rFonts w:ascii="Arial" w:hAnsi="Arial" w:cs="Arial"/>
          <w:sz w:val="16"/>
          <w:szCs w:val="16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14.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Уровень жизни населения</w:t>
      </w:r>
    </w:p>
    <w:p w:rsidR="0090355F" w:rsidRDefault="00E74478" w:rsidP="00C27E4D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Среднедушевой денежный доход составил в 2014 году 11115 рублей и увеличил</w:t>
      </w:r>
      <w:r w:rsidR="007D4986">
        <w:rPr>
          <w:rFonts w:ascii="Times New Roman CYR" w:hAnsi="Times New Roman CYR" w:cs="Times New Roman CYR"/>
          <w:sz w:val="28"/>
          <w:szCs w:val="28"/>
        </w:rPr>
        <w:t xml:space="preserve">ся </w:t>
      </w:r>
      <w:r>
        <w:rPr>
          <w:rFonts w:ascii="Times New Roman CYR" w:hAnsi="Times New Roman CYR" w:cs="Times New Roman CYR"/>
          <w:sz w:val="28"/>
          <w:szCs w:val="28"/>
        </w:rPr>
        <w:t xml:space="preserve"> по сравнению с предыдущим годом номинально на 7,6 %, реально - на 1,5 %.</w:t>
      </w:r>
    </w:p>
    <w:p w:rsidR="0090355F" w:rsidRDefault="00E74478" w:rsidP="00C27E4D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Среднемесячная начисленная заработная плата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расчете на одного работника составила в 2014 году  19500 рублей и номинально увеличилась  по сравнению с предыдущим годом на  7,6 %, а реально  увеличилась на 1,6 %.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Заработная плата района к средней по краю составила 57,1 %. Среднемесячная по краю составила 34178,2 руб.</w:t>
      </w:r>
    </w:p>
    <w:p w:rsidR="0090355F" w:rsidRDefault="00E74478" w:rsidP="00C27E4D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выплаченных пенсий в 2014 году составил 509857,8 тыс. руб., что на 3823 тыс. руб. больше чем в 2013 году.</w:t>
      </w:r>
    </w:p>
    <w:p w:rsidR="0090355F" w:rsidRDefault="00E74478" w:rsidP="00C27E4D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Численность пенсионеров в 2014 составила 4166 человека, что на 132 человека больше чем в 2013 году. Численность работающих пенсионеров в 2014 году увеличилось на 49 человек по сравнению с 2013 годом, и составила 824 человека. </w:t>
      </w:r>
    </w:p>
    <w:p w:rsidR="0090355F" w:rsidRDefault="00E74478" w:rsidP="00C27E4D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Средний размер доходов неработающего пенсионера с учетом доплат составил 9580,19 рублей, что на 8,8 % выше уровня 2013 года.</w:t>
      </w:r>
    </w:p>
    <w:p w:rsidR="0090355F" w:rsidRDefault="00E74478" w:rsidP="00C27E4D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kern w:val="20"/>
          <w:sz w:val="28"/>
          <w:szCs w:val="28"/>
        </w:rPr>
        <w:t xml:space="preserve">В 2015 году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среднедушевой доход  населения реально сократится на 8,5 %, в 2016 году реально увели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чи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тся на 1,5 % по 1 варианту и 2,2% по второму варианту, к 2018 году среднедушевой денежный доход составит 14002 рубля по 1 варианту и 15225 рублей по 2 варианту.  </w:t>
      </w:r>
    </w:p>
    <w:p w:rsidR="0090355F" w:rsidRDefault="00E74478" w:rsidP="00C27E4D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Заработная плата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расчете на одного работника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реально уменьшится в 2015 году на 8,5 % и составит 20215 рублей, в 2017 году увеличится на 1,5 % и 2,2% по 1 и 2 вариант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ам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соответственно,  в 2017 году на 0 % по 1 варианту и на 4 % по второму варианту, в 2018 году на 0,4 % по 1 варианту и 4,3 % по 2 варианту. </w:t>
      </w:r>
    </w:p>
    <w:p w:rsidR="0090355F" w:rsidRDefault="0090355F" w:rsidP="00C27E4D">
      <w:pPr>
        <w:spacing w:line="276" w:lineRule="auto"/>
        <w:rPr>
          <w:rFonts w:ascii="Arial" w:hAnsi="Arial" w:cs="Arial"/>
          <w:sz w:val="16"/>
          <w:szCs w:val="16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15.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Рынок труда</w:t>
      </w:r>
    </w:p>
    <w:p w:rsidR="007D4986" w:rsidRDefault="00E74478" w:rsidP="007D4986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юридических лиц, прошедших государственную регистрацию по состоянию на начало 2014 года составило 149 ед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что на 6 ед. меньше чем в 2013 году. </w:t>
      </w:r>
    </w:p>
    <w:p w:rsidR="0090355F" w:rsidRDefault="00E74478" w:rsidP="007D4986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организаций муниципальной формы собственности составляет на начало 2014 года 72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 xml:space="preserve"> е</w:t>
      </w:r>
      <w:r>
        <w:rPr>
          <w:rFonts w:ascii="Times New Roman CYR" w:hAnsi="Times New Roman CYR" w:cs="Times New Roman CYR"/>
          <w:kern w:val="20"/>
          <w:sz w:val="28"/>
          <w:szCs w:val="28"/>
        </w:rPr>
        <w:t>д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>, что ниже уровня 2013 года на 2 ед. Численность трудовых ресурсов за последние три года имеет тенденцию к сокращению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 6988 человек в 2012 году до 6846 чел в 2014 году (на 142 человека или на 2 %). за сч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ё</w:t>
      </w:r>
      <w:r>
        <w:rPr>
          <w:rFonts w:ascii="Times New Roman CYR" w:hAnsi="Times New Roman CYR" w:cs="Times New Roman CYR"/>
          <w:kern w:val="20"/>
          <w:sz w:val="28"/>
          <w:szCs w:val="28"/>
        </w:rPr>
        <w:t>т снижения численности населения в целом по району.</w:t>
      </w:r>
    </w:p>
    <w:p w:rsidR="0090355F" w:rsidRDefault="00E74478" w:rsidP="007D4986">
      <w:pPr>
        <w:widowControl/>
        <w:spacing w:line="276" w:lineRule="auto"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Численностьзанятых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экономике (среднегодовая)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за 2014 год составила 5947 тыс.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чел., что на 69 чел. больше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чем в 2013году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з</w:t>
      </w:r>
      <w:r>
        <w:rPr>
          <w:rFonts w:ascii="Times New Roman CYR" w:hAnsi="Times New Roman CYR" w:cs="Times New Roman CYR"/>
          <w:kern w:val="20"/>
          <w:sz w:val="28"/>
          <w:szCs w:val="28"/>
        </w:rPr>
        <w:t>а сч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ё</w:t>
      </w:r>
      <w:r>
        <w:rPr>
          <w:rFonts w:ascii="Times New Roman CYR" w:hAnsi="Times New Roman CYR" w:cs="Times New Roman CYR"/>
          <w:kern w:val="20"/>
          <w:sz w:val="28"/>
          <w:szCs w:val="28"/>
        </w:rPr>
        <w:t>т увеличения занятых в частном секторе. В 2015 году занятых  в экономике планируется 5865 тыс.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чел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.,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 к 2018году по 1 варианту 5638 тыс.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чел. по 2варианту 5700 тыс.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чел.</w:t>
      </w:r>
    </w:p>
    <w:p w:rsidR="007D4986" w:rsidRDefault="00E74478" w:rsidP="007D4986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Среднесписочная численность работников организаций (без внешних совместителей) за 2014 год составила 2991 чел. что выше уровня 2013 года на 3 человек</w:t>
      </w:r>
      <w:r w:rsidR="007D4986">
        <w:rPr>
          <w:rFonts w:ascii="Times New Roman CYR" w:hAnsi="Times New Roman CYR" w:cs="Times New Roman CYR"/>
          <w:sz w:val="28"/>
          <w:szCs w:val="28"/>
        </w:rPr>
        <w:t>а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90355F" w:rsidRDefault="00E74478" w:rsidP="007D4986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Увеличение показателя произо</w:t>
      </w:r>
      <w:r w:rsidR="007D4986">
        <w:rPr>
          <w:rFonts w:ascii="Times New Roman CYR" w:hAnsi="Times New Roman CYR" w:cs="Times New Roman CYR"/>
          <w:sz w:val="28"/>
          <w:szCs w:val="28"/>
        </w:rPr>
        <w:t>ш</w:t>
      </w:r>
      <w:r>
        <w:rPr>
          <w:rFonts w:ascii="Times New Roman CYR" w:hAnsi="Times New Roman CYR" w:cs="Times New Roman CYR"/>
          <w:sz w:val="28"/>
          <w:szCs w:val="28"/>
        </w:rPr>
        <w:t>ло за счет отрасли сельского хозяйства, в</w:t>
      </w:r>
      <w:r w:rsidR="007D498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то время как в  отрасли образования среднесписочная численность работников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уменьшилась на 86 человек, по отрасли здравоохранение сокращение составило 27 человек. В 2015 году среднесписочная численность работников организаций составит 2981 человек, что ниже уровня 2014 года 10 человек, планируется сокращение в отрасли сельского хозяйства в связи с увеличением налогового бремени (увеличением МРОТ). В 2016 году по 1 варианту планируется численность на уровне 3971 чел что ниже уровня  2015 года на 10 человек, по 2 варианту 2975 человек. </w:t>
      </w:r>
    </w:p>
    <w:p w:rsidR="0090355F" w:rsidRDefault="00E74478" w:rsidP="007D4986">
      <w:pPr>
        <w:widowControl/>
        <w:spacing w:line="276" w:lineRule="auto"/>
        <w:ind w:firstLine="48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занятых в крестьянских (фермерских) хозяйствах (включая наемных работников) в 2014 году  составила 30 чел и увеличится к 2018 году до 37 человек по 1 варианту и до 47 человек по 2 варианту, так как идет регистрация новых 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КФХ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районе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результате действия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грантовых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программ поддержки крестьянско-фермерских хозяйств. </w:t>
      </w:r>
    </w:p>
    <w:p w:rsidR="0090355F" w:rsidRDefault="00E74478" w:rsidP="007D4986">
      <w:pPr>
        <w:widowControl/>
        <w:spacing w:line="276" w:lineRule="auto"/>
        <w:ind w:firstLine="48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занятых на частных предприятиях в 2014 году составила 0,591 тыс.чел, что выше  уровня 2013 года на 44 человека, и в 2015 году данный показатель планируется на уровне 0,580 чел. , в перспективе к 2018 году численность занятых на частных предприятиях возрастет до 0,590 тыс.чел по 1 варианту и до 0,596 тыс.чел по 2 варианту.</w:t>
      </w:r>
    </w:p>
    <w:p w:rsidR="0090355F" w:rsidRDefault="00E74478" w:rsidP="007D4986">
      <w:pPr>
        <w:widowControl/>
        <w:spacing w:line="276" w:lineRule="auto"/>
        <w:ind w:firstLine="48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Численность занятых индивидуальным трудом и по найму у отдельных граждан, включая занятых в домашнем хозяйстве производством товаров и услуг для реализации в 2014 году составило 2811 человек, что выше уровня 2013 года на 34 человека.  и в 2015 году данный показатель планируется на уровне 2,736 тыс.чел, в связи с сокращением численности населения. В перспективе к 2018 году численность занятых индивидуальным трудом сократится до 2,528 тыс.чел по 1 варианту и до 2,569 тыс.чел по 2 варианту.</w:t>
      </w:r>
    </w:p>
    <w:p w:rsidR="0090355F" w:rsidRDefault="00E74478" w:rsidP="007D4986">
      <w:pPr>
        <w:widowControl/>
        <w:spacing w:after="120" w:line="276" w:lineRule="auto"/>
        <w:ind w:firstLine="56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незанятых трудовой деятельностью граждан в 2014 году составила 389 человек, в 2015 году  планируется – 385 человек и увеличится к 2018 году до 463 человек по 1 варианту и до 464 человек по 2 варианту. </w:t>
      </w:r>
    </w:p>
    <w:p w:rsidR="0090355F" w:rsidRDefault="00E74478" w:rsidP="007D4986">
      <w:pPr>
        <w:widowControl/>
        <w:spacing w:after="120" w:line="276" w:lineRule="auto"/>
        <w:ind w:firstLine="56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органах государственной службы занятости зарегистрировано на 01 января 2015 года - 290 безработных, что ниже уровня 2013 года на 30 человек. Уровень безработицы по району составил в 2014 году 4,9 % , что  выше уровня 2014 года на 0,2 %, за счет сокращение работников.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16.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Демографическая ситуация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>Среднегодовая численность постоянного населения в динамике за последние три года с 2012 года по 2014 год сократилась на 418 человека и  составила за 2014 год 11819 человек.</w:t>
      </w:r>
    </w:p>
    <w:p w:rsidR="00553C5A" w:rsidRDefault="00553C5A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ind w:firstLine="720"/>
        <w:jc w:val="right"/>
        <w:rPr>
          <w:rFonts w:ascii="Times New Roman CYR" w:hAnsi="Times New Roman CYR" w:cs="Times New Roman CYR"/>
          <w:kern w:val="20"/>
        </w:rPr>
      </w:pPr>
      <w:r>
        <w:rPr>
          <w:rFonts w:ascii="Times New Roman CYR" w:hAnsi="Times New Roman CYR" w:cs="Times New Roman CYR"/>
          <w:kern w:val="20"/>
        </w:rPr>
        <w:lastRenderedPageBreak/>
        <w:t xml:space="preserve">Таблица 6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070"/>
        <w:gridCol w:w="1015"/>
        <w:gridCol w:w="992"/>
        <w:gridCol w:w="1317"/>
        <w:gridCol w:w="1317"/>
      </w:tblGrid>
      <w:tr w:rsidR="0090355F">
        <w:trPr>
          <w:trHeight w:val="646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90355F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kern w:val="2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kern w:val="20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  <w:kern w:val="20"/>
              </w:rPr>
              <w:t>2013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kern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kern w:val="20"/>
              </w:rPr>
              <w:t>2014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kern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kern w:val="20"/>
              </w:rPr>
              <w:t>2014/2012в %</w:t>
            </w:r>
          </w:p>
        </w:tc>
      </w:tr>
      <w:tr w:rsidR="0090355F">
        <w:trPr>
          <w:trHeight w:val="590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Численность постоянного населения среднегодовая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12237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12022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11819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96,58</w:t>
            </w: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Численность постоянного сельского населения на 01.01.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12344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12124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11920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96,56</w:t>
            </w:r>
          </w:p>
        </w:tc>
      </w:tr>
      <w:tr w:rsidR="0090355F">
        <w:trPr>
          <w:trHeight w:val="225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Количество родившихся за год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218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161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91,47</w:t>
            </w: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Коэффициент рождаемости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14,38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18,1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13,6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94,57</w:t>
            </w:r>
          </w:p>
        </w:tc>
      </w:tr>
      <w:tr w:rsidR="0090355F">
        <w:trPr>
          <w:trHeight w:val="315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Количество умерших за год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232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234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225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96,98</w:t>
            </w: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Коэффициент смертности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18,95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19,46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19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100,3</w:t>
            </w:r>
          </w:p>
        </w:tc>
      </w:tr>
      <w:tr w:rsidR="0090355F">
        <w:trPr>
          <w:trHeight w:val="315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Естественный прирост (+), убыль (-) населения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-16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-64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90355F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</w:p>
        </w:tc>
      </w:tr>
      <w:tr w:rsidR="0090355F">
        <w:trPr>
          <w:trHeight w:val="285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Коэффициент естественного прироста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- 4,6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- 1,33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-5,4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90355F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Численность прибывшего за год населения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562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625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563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100,2</w:t>
            </w: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Численность выбывшего за год населения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726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813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701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96,56</w:t>
            </w: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Миграционный прирост (+), убыль (-) населения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-164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-188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-138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90355F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Общая убыль населения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-204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-202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90355F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</w:p>
        </w:tc>
      </w:tr>
      <w:tr w:rsidR="0090355F">
        <w:trPr>
          <w:trHeight w:val="247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 xml:space="preserve">Численность населения по данных книг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kern w:val="20"/>
              </w:rPr>
              <w:t>похозяйственного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kern w:val="20"/>
              </w:rPr>
              <w:t xml:space="preserve"> учета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13737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color w:val="000000"/>
                <w:kern w:val="20"/>
              </w:rPr>
            </w:pPr>
            <w:r>
              <w:rPr>
                <w:rFonts w:ascii="Times New Roman CYR" w:hAnsi="Times New Roman CYR" w:cs="Times New Roman CYR"/>
                <w:color w:val="000000"/>
                <w:kern w:val="20"/>
              </w:rPr>
              <w:t>13508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13269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96,59</w:t>
            </w:r>
          </w:p>
        </w:tc>
      </w:tr>
    </w:tbl>
    <w:p w:rsidR="0090355F" w:rsidRDefault="0090355F" w:rsidP="003C31F2">
      <w:pPr>
        <w:widowControl/>
        <w:spacing w:line="276" w:lineRule="auto"/>
        <w:jc w:val="both"/>
        <w:rPr>
          <w:rFonts w:ascii="Times New Roman CYR" w:hAnsi="Times New Roman CYR" w:cs="Times New Roman CYR"/>
          <w:kern w:val="16"/>
          <w:sz w:val="28"/>
          <w:szCs w:val="28"/>
        </w:rPr>
      </w:pPr>
    </w:p>
    <w:p w:rsidR="0090355F" w:rsidRDefault="00E74478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распределении населения по полу наблюдается незначительный перевес женщин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из общей численности 11920 человек</w:t>
      </w:r>
      <w:r w:rsidR="007D498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численность мужчин составляет 5714 человек, численность женщин составляет 6206 человек (на 1000 мужчин  приходится 1086 женщин). Средний возраст жителей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района — 50 лет. </w:t>
      </w:r>
    </w:p>
    <w:p w:rsidR="0090355F" w:rsidRDefault="00E74478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Современная демографическая ситуация в районе характеризуется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снижением  рождаемости с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о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176 чел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2012 году до 161 чел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2014 году, то есть за последние 3 года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рождаемость снизилась на 8,53 %, при этом смертность также сокращается с 232 чел в 2012 году до 225 чел в 2014 году или на 3,02 %. Естественная убыль  населения в 2014 году составила -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64 человек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а</w:t>
      </w:r>
      <w:r>
        <w:rPr>
          <w:rFonts w:ascii="Times New Roman CYR" w:hAnsi="Times New Roman CYR" w:cs="Times New Roman CYR"/>
          <w:kern w:val="20"/>
          <w:sz w:val="28"/>
          <w:szCs w:val="28"/>
        </w:rPr>
        <w:t>, тогда как в  2013 году наблюдалась естественная убыль населения в количестве -16 человек. Изменение соотношени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я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числа родившихся и умерших в динамике представлена на нижеследующем рисунке.</w:t>
      </w:r>
    </w:p>
    <w:p w:rsidR="00553C5A" w:rsidRDefault="00553C5A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53C5A" w:rsidRDefault="00553C5A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53C5A" w:rsidRDefault="00553C5A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53C5A" w:rsidRDefault="00553C5A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53C5A" w:rsidRDefault="00553C5A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53C5A" w:rsidRDefault="00553C5A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553C5A" w:rsidRDefault="00553C5A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ind w:firstLine="709"/>
        <w:jc w:val="right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Естественное движение населения</w:t>
      </w:r>
    </w:p>
    <w:p w:rsidR="0090355F" w:rsidRDefault="00E74478">
      <w:pPr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noProof/>
          <w:kern w:val="20"/>
          <w:sz w:val="28"/>
          <w:szCs w:val="28"/>
        </w:rPr>
        <w:drawing>
          <wp:inline distT="0" distB="0" distL="0" distR="0">
            <wp:extent cx="6105525" cy="32956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0355F" w:rsidRDefault="0090355F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 w:rsidP="003C31F2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численность и состав населения влияет, кроме естественного движения, механическое движение (миграция), в 2014 году  превышение числа убывших над числом прибывших составляло 138 человек. В динамике изменение механического движения населения видно на нижеследующем рисунке.</w:t>
      </w:r>
    </w:p>
    <w:p w:rsidR="0090355F" w:rsidRDefault="00E74478" w:rsidP="003C31F2">
      <w:pPr>
        <w:widowControl/>
        <w:ind w:firstLine="709"/>
        <w:jc w:val="right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Механическое движение населения</w:t>
      </w:r>
      <w:r>
        <w:rPr>
          <w:rFonts w:ascii="Times New Roman CYR" w:hAnsi="Times New Roman CYR" w:cs="Times New Roman CYR"/>
          <w:noProof/>
          <w:kern w:val="20"/>
          <w:sz w:val="28"/>
          <w:szCs w:val="28"/>
        </w:rPr>
        <w:drawing>
          <wp:inline distT="0" distB="0" distL="0" distR="0">
            <wp:extent cx="5438775" cy="313372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Процесс естественной убыли населения наблюдается практически во всех населенных пунктах района.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Основными причинами повышения общей смертности  являются 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сердечно-сосудистые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заболевания 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прежде всего, заболевания сердца и сосудов головного мозга. </w:t>
      </w:r>
    </w:p>
    <w:p w:rsidR="0090355F" w:rsidRDefault="00E74478">
      <w:pPr>
        <w:widowControl/>
        <w:tabs>
          <w:tab w:val="left" w:pos="567"/>
        </w:tabs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Число домохозяйств района составляет 5642, количество многодетных семей 203 единицы. </w:t>
      </w:r>
      <w:r>
        <w:rPr>
          <w:rFonts w:ascii="Times New Roman CYR" w:hAnsi="Times New Roman CYR" w:cs="Times New Roman CYR"/>
          <w:kern w:val="20"/>
          <w:sz w:val="28"/>
          <w:szCs w:val="28"/>
        </w:rPr>
        <w:tab/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Основные факторы, способствующие снижению численности населения в районе: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о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тсутствие тенденции к развитию сферы промышленного производства и сокращение количества рабочих мест.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п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роблема обеспечения жильем населения.</w:t>
      </w:r>
    </w:p>
    <w:p w:rsidR="0090355F" w:rsidRDefault="0090355F">
      <w:pPr>
        <w:widowControl/>
        <w:rPr>
          <w:rFonts w:ascii="Arial CYR" w:hAnsi="Arial CYR" w:cs="Arial CYR"/>
          <w:sz w:val="16"/>
          <w:szCs w:val="16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17.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Здравоохранение</w:t>
      </w:r>
    </w:p>
    <w:p w:rsidR="0090355F" w:rsidRDefault="00E74478" w:rsidP="003C31F2">
      <w:pPr>
        <w:widowControl/>
        <w:spacing w:after="120"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Центральная районная больница работает в системе обязательного медицинского страхования и страховых компаний по заключенным с ними договорам.</w:t>
      </w:r>
    </w:p>
    <w:p w:rsidR="001A5C7A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Демографические показатели развития района по итогам 2014 года сложились менее благоприятно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сравнении с итогами 2013года – рождаемость сократилась на  57 человек, не смотря на то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что показатель смертности снизился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 уровню 2013 года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 9 человек и  составил 225 человек, показатель естественной убыли населения с 16 человек</w:t>
      </w:r>
      <w:r w:rsidR="003C31F2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2013 году,  возрос   до 64 человек по итогам  2014 года.</w:t>
      </w:r>
    </w:p>
    <w:p w:rsidR="0090355F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Коэффициент естественного прироста на 1000 человек населения с - 1,33 по итогам  2013 года, возро</w:t>
      </w:r>
      <w:r w:rsidR="001A5C7A">
        <w:rPr>
          <w:rFonts w:ascii="Times New Roman CYR" w:hAnsi="Times New Roman CYR" w:cs="Times New Roman CYR"/>
          <w:kern w:val="20"/>
          <w:sz w:val="28"/>
          <w:szCs w:val="28"/>
        </w:rPr>
        <w:t>с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до значения минус - 5,4.</w:t>
      </w:r>
    </w:p>
    <w:p w:rsidR="0090355F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Основными причинами смертности населения, как и в прошлые годы остаются болезни: системы кровообращения, новообразования, органы дыхания, отравления суррогатным алкоголем.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МУЗ «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Идринская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центральная районная больница» в 2014 году представлена на 66 коек, данный показатель остаётся неизменным ряд лет.  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Среднегодовая занятость койки составляет в 2014 году 270,5дней , что ниже уровня 2013 года на 10,8 %.  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Обеспеченность койками на 10000 человек населения в 2014 году  составила 55,4 койки, что выше уровня 2013 года на 1,8 %, рост показателя, при неизменном количестве коек, обусловлен сокращением численности населения. 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Объём медицинской помощи, предоставляемой в стационарных условиях в медицинских организациях всех форм собственности, на 1 человека населения сократился  с 1,60 койко-дней по итогам 2013 года до 1,47 по результатам 2014 года, сокращение составляет т 8,8 % 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Количество койко-дней проведенных больными в медицинской организации , оказывающей медицинскую помощь в стационарных условиях с 19304 койко-дней в 2013 году сократилось до 178534 койко-дней по итогам 2014 года.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численность госпитализированных пациентов в 2014 году составила 1890 человек, что  на уровне 2013 года.</w:t>
      </w:r>
      <w:r>
        <w:rPr>
          <w:rFonts w:ascii="Times New Roman CYR" w:hAnsi="Times New Roman CYR" w:cs="Times New Roman CYR"/>
          <w:kern w:val="20"/>
        </w:rPr>
        <w:t xml:space="preserve"> У</w:t>
      </w:r>
      <w:r>
        <w:rPr>
          <w:rFonts w:ascii="Times New Roman CYR" w:hAnsi="Times New Roman CYR" w:cs="Times New Roman CYR"/>
          <w:kern w:val="20"/>
          <w:sz w:val="28"/>
          <w:szCs w:val="28"/>
        </w:rPr>
        <w:t>ровень госпитализации в учреждении здравоохранения муниципальной формы собственности на 100 человек населения составил в 2014 году 16,0 чел, что, практически, на уровне 2013 года.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дней, проведённых больными в дневных стационарах</w:t>
      </w:r>
      <w:r w:rsidR="001A5C7A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возросло к уровню 2013 года на 12,8 % и составило 6751 день.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мест в дневных стационарах остаётся на уровне прошлых лет и составляет - 20 мест.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Обеспеченность местами дневного стационара на 10 тыс. населения составляет 16,8 мест, показатель</w:t>
      </w:r>
      <w:r w:rsidR="001A5C7A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возрос к уровню 2013 года, за счёт снижения численности населения.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населения, охваченного профилактическими осмотрами с 4134 чел. по итогам 2013 года, снизилась до значения 3836.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Доля населения, охваченного профилактическими осмотрами</w:t>
      </w:r>
      <w:r w:rsidR="001A5C7A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составляет 91,9 %.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лиц, пострадавших от несчастных случаев - 862 чел., на 7 чел. сократилась к уровню 2013 года. </w:t>
      </w:r>
    </w:p>
    <w:p w:rsidR="0090355F" w:rsidRDefault="00E74478" w:rsidP="001A5C7A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фельдшерско-акушерских пунктов в составе учреждений здравоохранения  остаётся на прежнем уровне и составляет 21ед.</w:t>
      </w:r>
    </w:p>
    <w:p w:rsidR="0090355F" w:rsidRDefault="00E74478" w:rsidP="001A5C7A">
      <w:pPr>
        <w:widowControl/>
        <w:tabs>
          <w:tab w:val="left" w:pos="1515"/>
        </w:tabs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Плановая мощность поликлиники – 500, фактическая – 500</w:t>
      </w:r>
      <w:r w:rsidR="00D53FA0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Численность врачей составляет 28 человек.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Укомплектованность физическими лицами врачей: 48,8, в том числе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эндокринология – совместитель,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офтальмология – не занята на конец года;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хирургия –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оториноларингология – совместитель,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онкология – совместитель,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неврология –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педиатрия –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наркология – совместитель,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фтизиатрия –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 психиатрия –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дерматовенерология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– 100%;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акушерство, гинекология – 100 %;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терапия – 85,7 %;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стоматология – 100 %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среднего медперсонала – 115 человек.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Процент укомплектованности средними медработниками – 100 %,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терапевтических участков – 6, их укомплектованность – 85,7 %; педиатрические участки – 3,25, укомплектованность – 84,6 %.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Получили усовершенствование в 2014 году - 14 врачей, и 39 средних медицинских работников.</w:t>
      </w:r>
    </w:p>
    <w:p w:rsidR="0090355F" w:rsidRDefault="00E74478" w:rsidP="001A5C7A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В районной поликлинике работают лечебно-диагностические и вспомогательные кабинеты: клинико-диагностическая лаборатория, кабинет функциональной диагностики, кабинет ультразвуковой диагностики, кабинет эндоскопического обследования,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физиокабинет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флюорографический кабинет – оснащ</w:t>
      </w:r>
      <w:r w:rsidR="00FB64E5">
        <w:rPr>
          <w:rFonts w:ascii="Times New Roman CYR" w:hAnsi="Times New Roman CYR" w:cs="Times New Roman CYR"/>
          <w:sz w:val="28"/>
          <w:szCs w:val="28"/>
        </w:rPr>
        <w:t>ё</w:t>
      </w:r>
      <w:r>
        <w:rPr>
          <w:rFonts w:ascii="Times New Roman CYR" w:hAnsi="Times New Roman CYR" w:cs="Times New Roman CYR"/>
          <w:sz w:val="28"/>
          <w:szCs w:val="28"/>
        </w:rPr>
        <w:t>н ц</w:t>
      </w:r>
      <w:r w:rsidR="00FB64E5">
        <w:rPr>
          <w:rFonts w:ascii="Times New Roman CYR" w:hAnsi="Times New Roman CYR" w:cs="Times New Roman CYR"/>
          <w:sz w:val="28"/>
          <w:szCs w:val="28"/>
        </w:rPr>
        <w:t>и</w:t>
      </w:r>
      <w:r>
        <w:rPr>
          <w:rFonts w:ascii="Times New Roman CYR" w:hAnsi="Times New Roman CYR" w:cs="Times New Roman CYR"/>
          <w:sz w:val="28"/>
          <w:szCs w:val="28"/>
        </w:rPr>
        <w:t>фровым</w:t>
      </w:r>
      <w:r w:rsidR="00FB64E5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флю</w:t>
      </w:r>
      <w:r w:rsidR="00FB64E5">
        <w:rPr>
          <w:rFonts w:ascii="Times New Roman CYR" w:hAnsi="Times New Roman CYR" w:cs="Times New Roman CYR"/>
          <w:sz w:val="28"/>
          <w:szCs w:val="28"/>
        </w:rPr>
        <w:t>о</w:t>
      </w:r>
      <w:r>
        <w:rPr>
          <w:rFonts w:ascii="Times New Roman CYR" w:hAnsi="Times New Roman CYR" w:cs="Times New Roman CYR"/>
          <w:sz w:val="28"/>
          <w:szCs w:val="28"/>
        </w:rPr>
        <w:t>рографом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0355F" w:rsidRDefault="00E74478" w:rsidP="00FB64E5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Проводятся периодические и профилактические медосмотры взрослых и несовершеннолетних. Медицинские осмотры на вождение, владение оружием, оформление опекунства. Диспансеризация взрослого населения района.</w:t>
      </w:r>
    </w:p>
    <w:p w:rsidR="0090355F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Основными задачами и направлениями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системе здравоохранения на 2012-2018 г.г.</w:t>
      </w:r>
      <w:r w:rsidR="00FB64E5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остаются: профилактика и ранняя диагностика заболеваний, совершенствование материально-технической базы и оснащенности учреждений здравоохранения, повышение доступности медицинской помощи для сельского населения. </w:t>
      </w:r>
    </w:p>
    <w:p w:rsidR="0090355F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Считать одним из приоритетных направлений охрану здоровья матери и ребенка, совершенствовать систему медикаментозного обеспечения,  обеспечение потребности льготными и бесплатными медикаментами ветеранов и инвалидов.</w:t>
      </w:r>
    </w:p>
    <w:p w:rsidR="0090355F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Основным направлением в совершенствовании организации оказания помощи населению является укрепление первичного звена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здравоохранени,я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при усилении роли врачей общей практики.</w:t>
      </w:r>
    </w:p>
    <w:p w:rsidR="0090355F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При оценке деятельности лечебных учреждений показатели профилактической работы должны стать приоритетными. Необходимо восстанавливать и расширять практику диспансерного наблюдения за больными, диспансеризацию трудоспособного населения, а также лиц, проживающих в сельской местности, возрождение профилактического направления в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здравоохранении таким образом, чтобы основной жизненной ценностью стало здоровье.</w:t>
      </w:r>
    </w:p>
    <w:p w:rsidR="0090355F" w:rsidRDefault="00E74478" w:rsidP="001A5C7A">
      <w:pPr>
        <w:widowControl/>
        <w:spacing w:line="276" w:lineRule="auto"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 целью привлечения молодых специалистов в сферу здравоохранения, проводить систематическую и целенаправленную работу, исходя из реальных возможностей района, по обеспечению их комфортабельным жильём, принимая участие в КДЦП «Обеспечение жильём молодых специалистов в сельской местности». Только так можно решить проблему обеспечения здравоохранения профильными специалистами. </w:t>
      </w:r>
    </w:p>
    <w:p w:rsidR="0090355F" w:rsidRDefault="0090355F" w:rsidP="001A5C7A">
      <w:pPr>
        <w:spacing w:line="276" w:lineRule="auto"/>
        <w:rPr>
          <w:rFonts w:ascii="Arial" w:hAnsi="Arial" w:cs="Arial"/>
          <w:sz w:val="16"/>
          <w:szCs w:val="16"/>
        </w:rPr>
      </w:pPr>
    </w:p>
    <w:p w:rsidR="0090355F" w:rsidRDefault="0090355F" w:rsidP="001A5C7A">
      <w:pPr>
        <w:spacing w:line="276" w:lineRule="auto"/>
        <w:rPr>
          <w:rFonts w:ascii="Arial" w:hAnsi="Arial" w:cs="Arial"/>
          <w:sz w:val="16"/>
          <w:szCs w:val="16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18.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Образование</w:t>
      </w:r>
    </w:p>
    <w:p w:rsidR="0090355F" w:rsidRPr="00FB64E5" w:rsidRDefault="00E74478">
      <w:pPr>
        <w:widowControl/>
        <w:spacing w:after="120"/>
        <w:ind w:firstLine="720"/>
        <w:jc w:val="center"/>
        <w:rPr>
          <w:rFonts w:ascii="Times New Roman CYR" w:hAnsi="Times New Roman CYR" w:cs="Times New Roman CYR"/>
          <w:b/>
          <w:i/>
          <w:kern w:val="20"/>
          <w:sz w:val="28"/>
          <w:szCs w:val="28"/>
        </w:rPr>
      </w:pPr>
      <w:r w:rsidRPr="00FB64E5">
        <w:rPr>
          <w:rFonts w:ascii="Times New Roman CYR" w:hAnsi="Times New Roman CYR" w:cs="Times New Roman CYR"/>
          <w:b/>
          <w:i/>
          <w:kern w:val="20"/>
          <w:sz w:val="28"/>
          <w:szCs w:val="28"/>
        </w:rPr>
        <w:t>Дошкольное образование</w:t>
      </w: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района осуществляют деятельность 5 учреждений дошкольного образования и к 2016 году их количество должно составить 7 ед., в 2015 - 2016 годах планируется ввести два дошкольных учреждения. </w:t>
      </w: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мест в данных учреждениях составляет 379 мест, что выше уровня 2013 года на 43 %, или дополнительно введено 114 мест. Дополнительные места введены за счёт завершения ремонта детско</w:t>
      </w:r>
      <w:r w:rsidR="00FB64E5">
        <w:rPr>
          <w:rFonts w:ascii="Times New Roman CYR" w:hAnsi="Times New Roman CYR" w:cs="Times New Roman CYR"/>
          <w:kern w:val="20"/>
          <w:sz w:val="28"/>
          <w:szCs w:val="28"/>
        </w:rPr>
        <w:t>г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 сада "Солнышко", где открыто три группы на 75 мест, открытия детского сада в с. Никольское  - на 40 мест. </w:t>
      </w: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2014 года произведены работы по капитальному ремонту в детском саду с. Отрок, на общую сумму 6038,6 тыс. руб., в с. Екатериновка, в детском саду на 30 мест, на общую сумму 7630,0 тыс. руб., в с. Майское Утро, в детском саду на 20 мест, на сумму 3883 тыс. руб. </w:t>
      </w: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 2016 году планируется довести количество мест в детских садах до показателя - 541 место, за счёт завершения строительства детского сада в 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- на 95 мест.</w:t>
      </w: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Доля дошкольных образовательных организаций муниципальной формы собственности, здания которых находятся в аварийном состоянии или требуют капитального ремонта, в общем числе дошкольных образовательных организаций муниципальной формы собственности, по итогам 2014 года составила 20 %. По оценке 2015 года все здания будут отремонтированы и показатель будет равен 0. </w:t>
      </w:r>
    </w:p>
    <w:p w:rsidR="0090355F" w:rsidRDefault="00E74478">
      <w:pPr>
        <w:widowControl/>
        <w:spacing w:after="120"/>
        <w:ind w:firstLine="85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2014 году численность детей, посещающих дошкольные образовательные учреждения, включая посещающих начальные школы-детские сады, филиалы дошкольных и общеобразовательных учреждений, группы дошкольного образования при школах и т.д.составила 321 человек, что выше уровня 2013 года на 89 человек. В перспективе данный показатель увеличивается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и к 2018 году численность детей, посещающих детские сады, должна составить 505 человек. </w:t>
      </w:r>
    </w:p>
    <w:p w:rsidR="0090355F" w:rsidRDefault="00E74478">
      <w:pPr>
        <w:widowControl/>
        <w:spacing w:after="120"/>
        <w:ind w:firstLine="851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детей в возрасте от 5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2014 году составила 179 чел, что ниже уровня 2013 года на 81 чел, за счет сокращения групп кратковременного пребывания.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Обеспеченность дошкольными образовательными учреждениями детей в возрасте от 1 до 6 в 2014 году составила 26,55 %, показатель возрос  на 31 % к уровню 2013 года, за счёт увеличения площадей и открытия дополнительных групп. 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педагогических работников в дошкольных образовательных учреждениях всех форм собственности составляет 29 чел. В перспективе планируется привлечение педагогических работников с профильным образованием, путём их заинтересованности в участии в программах по обеспечению жильём, а также материальной заинтересованности, посредством новых подходов оплаты труда и к 2018 году их количество составит 40 ед. </w:t>
      </w:r>
    </w:p>
    <w:p w:rsidR="0090355F" w:rsidRDefault="0090355F">
      <w:pPr>
        <w:widowControl/>
        <w:ind w:firstLine="600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Pr="00FB64E5" w:rsidRDefault="00E74478">
      <w:pPr>
        <w:widowControl/>
        <w:ind w:firstLine="600"/>
        <w:jc w:val="center"/>
        <w:rPr>
          <w:rFonts w:ascii="Times New Roman CYR" w:hAnsi="Times New Roman CYR" w:cs="Times New Roman CYR"/>
          <w:b/>
          <w:i/>
          <w:kern w:val="20"/>
          <w:sz w:val="28"/>
          <w:szCs w:val="28"/>
        </w:rPr>
      </w:pPr>
      <w:r w:rsidRPr="00FB64E5">
        <w:rPr>
          <w:rFonts w:ascii="Times New Roman CYR" w:hAnsi="Times New Roman CYR" w:cs="Times New Roman CYR"/>
          <w:b/>
          <w:i/>
          <w:kern w:val="20"/>
          <w:sz w:val="28"/>
          <w:szCs w:val="28"/>
        </w:rPr>
        <w:t>Дневное образование</w:t>
      </w:r>
    </w:p>
    <w:p w:rsidR="0090355F" w:rsidRDefault="0090355F">
      <w:pPr>
        <w:widowControl/>
        <w:ind w:firstLine="600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Сеть общеобразовательных учреждений района выглядит следующим образом: 6 основных школ, 9 средних школ. </w:t>
      </w: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дневных общеобразовательных организаций муниципальной формы собственности, соответствующих современным требованиям обучения с 4 в 2013 году возросло до 11 в 2014 году.</w:t>
      </w:r>
    </w:p>
    <w:p w:rsidR="0090355F" w:rsidRDefault="00E74478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мест в общеобразовательных школах 3514 с фактической численностью учащихся в 2014 году 1508 человек, что ниже уровня 2013 года на 44 человека. Средняя наполняемость классов составляет 9,2 %, что ниже уровня 2013 года на 3 %. 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>Среднегодовая численность всех работников дневных общеобразовательных учреждений государственной и муниципальной формы собственности - физические лица составила в 2014 году 497 чел., что ниже уровня 2013 года на 11 человек. В 2015 году численность данных работников ожидается на уровне 510 чел. к  2018  году достигнет показателя 513 чел по обеим вариантам. Численность педагогов составляет 219 человек, что выше уровня 2013года на 7 чел.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численность выпускников муниципальных общеобразовательных учреждений в 2014 году составила 65 человек, что ниже уровня 2013 года на 26,6 %.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Доля выпускников</w:t>
      </w:r>
      <w:r w:rsidR="00C818D8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дневных общеобразовательных учреждений муниципальной формы собственности, сдавших единый государственный экзамен по русскому языку и математике, в общей численности выпускников общеобразовательных учреждений муниципальной формы собственности, сдававших единый государственном экзамене по данным предметам составила в 2014 году 95, 38 %, что ниже  уровня 2013 года на 3,42 %. 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выпускников дневных общеобразовательных учреждений муниципальной формы собственности, не получивших аттестат о среднем (полном) образовании в 2014 году составило 3 ед</w:t>
      </w:r>
      <w:r w:rsidR="00C818D8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>, что на 2 выпускника выше  уровня 2013 года</w:t>
      </w:r>
      <w:r w:rsidR="00AB2926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Доля дневных общеобразовательных учреждений муниципальной формы собственности, здания которых находятся в аварийном состоянии или требуют капитального ремонта, в общем количестве дневных общеобразовательных учреждений муниципальной формы собственности составила 5 %, показатель остался на уровне 2013 года.</w:t>
      </w:r>
    </w:p>
    <w:p w:rsidR="0090355F" w:rsidRPr="00AB2926" w:rsidRDefault="00E74478">
      <w:pPr>
        <w:widowControl/>
        <w:ind w:firstLine="600"/>
        <w:jc w:val="center"/>
        <w:rPr>
          <w:rFonts w:ascii="Times New Roman CYR" w:hAnsi="Times New Roman CYR" w:cs="Times New Roman CYR"/>
          <w:b/>
          <w:i/>
          <w:kern w:val="20"/>
          <w:sz w:val="28"/>
          <w:szCs w:val="28"/>
        </w:rPr>
      </w:pPr>
      <w:r w:rsidRPr="00AB2926">
        <w:rPr>
          <w:rFonts w:ascii="Times New Roman CYR" w:hAnsi="Times New Roman CYR" w:cs="Times New Roman CYR"/>
          <w:b/>
          <w:i/>
          <w:kern w:val="20"/>
          <w:sz w:val="28"/>
          <w:szCs w:val="28"/>
        </w:rPr>
        <w:t>Дополнительное образование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учреждений дополнительного образования детей</w:t>
      </w:r>
      <w:r w:rsidR="00AB292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всех форм собственности на территории района составляет 3 единицы, из них в ведении образования - 2, в ведении культуры - 1.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детей, получающих услуги по дополнительному образованию в 2014 году составила 898 человек, что выше уровня  2013 года на 11 человек.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Охват детей дополнительным образованием в 2014 году равен 59,55%, что ниже  уровня 2013 года на 21,16 %, сокращение показателя обусловлено закрытием групп дневного пребывания. 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Численность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 составила 1783 человека, что выше уровня 2013 года на 93 человека.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 показателя 8 % по итогам 2013 года возросла в 2014 году до 86,26%.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 счет участия в федеральных и краевых целевых программах были проведены следующие мероприятия. В рамках краевой целевой программы «Повышение эффективности деятельности органов местного самоуправления в Красноярском крае на 2011-2013 гг.» проведен ремонт МКОУ Стахановская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сош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сумму 8825,2 тыс. рублей. По федеральной целевой программе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Энегросбережение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 установлены оконные блоки в МБОУ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сош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сумму 2952,4 тыс.рублей. Оборудованы 3 модульных туалета и один туалет восстановлен</w:t>
      </w:r>
      <w:r w:rsidR="00AB2926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 по краевой целевой программе «Обеспечение безопасности  жизнедеятельности ОУ» на сумму 6016,0 тыс. рублей.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В рамках реализации подпрограмм муниципальной программы"Развитие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на 2014 - 2016 годы" по итогам 2014 года были реализованы следующие мероприятия: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субсидии бюджетам муниципальных образований на введение дополнительных мест в системе дошкольного образования детей, посредством реконструкции и капитального ремонта зданий под дошкольные образовательные учреждения, реконструкции и капитального ремонта зданий образовательных учреждений для создания условий, позволяющих реализовать основную общеобразовательную программу дошкольного образования детей, а также приобретение оборудования, мебели  - на сумму 26686,5 тыс. руб.,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="00AB2926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счёт средств местного бюджета на сумму 901,9 тыс. руб</w:t>
      </w:r>
      <w:r w:rsidR="00AB2926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-проведение мероприятий по обеспечению безопасности жизнедеятельности учреждений дошкольного, общего и дополнительного образования детей на сумму 400,0 тыс.руб.; 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- 1403,0 тыс. руб.; 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модернизация региональных систем дополнительного образования за счет средств федерального бюджета в рамках подпрограммы "Развитие дошкольного, общего и дополнительного образования детей" муниципальной программы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"Развитие образования" на сумму 9647,6 тыс. руб.,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за счёт средств местного бюджета - 964,76 тыс. руб.;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оплата стоимости путевок для детей в краевые государственные и не 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 на сумму 192,0 тыс. руб.,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за счёт средств местного бюджета - 51,2 тыс. руб.;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проведено мероприятий по отдыху и оздоровлению детей в каникулярное время за счет средств местного бюджета на сумму 697,7 тыс. руб.;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проведение мероприятий по работе с одаренными детьми - 136,2 тыс. руб., средства местного бюджета.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Главными направлениями для стабильного функционирования образовательных  учреждений остаются</w:t>
      </w:r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сохранение сети образовательных учреждений  и увеличение количества  учащихся,  обучающихся в современных условиях;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своевременное выполнение предписаний надзорных органов и качественная подготовка школ к  новому учебному году;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-обеспечение местами в дошкольных  образовательных учреждениях 93% детей в возрасте от 3 до 7 лет к 01 января 2016 года;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достижение  70% охвата дошкольным образованием детей района  в возрасте от 3 до 7 лет 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поддержка и развитие одаренных детей;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 привлечение молодых специалистов в образовательные учреждения.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Проблемой остаётся  - состояние школ, в которых требуется проведение капитального ремонта, это СОШ 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Большехабыкская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Новоберёзовская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19.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Культура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общедоступных библиотек всех форм собственности на территории района составляет на протяжении нескольких лет 22 единицы.</w:t>
      </w:r>
      <w:r>
        <w:rPr>
          <w:rFonts w:ascii="Times New Roman CYR" w:hAnsi="Times New Roman CYR" w:cs="Times New Roman CYR"/>
          <w:kern w:val="20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работников общедоступных библиотек также стабильна и составляет 64 человека.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Библиотечный фонд общедоступных библиотек всех форм собственности составляет 211,12 тыс.руб., возрос к уровню 2013 года на 5,5 %.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Количество экземпляров библиотечного фонда</w:t>
      </w:r>
      <w:r w:rsidR="00AB292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общедоступных  библиотек всех форм собственности на 1000 человек в 2014 году составило 17711,41 экз., что выше уровня 2013 года на 2,3 %. 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новых изданий, поступивших в фонды</w:t>
      </w:r>
      <w:r w:rsidR="00AB292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общедоступных библиотек всех форм собственности в 2014 году составило 8530 экз., что выше уровня 2013 года на 22,9 %. В 2015 году поступит в фонды 7000 экз. и к 2018 году поступление останется на уровне 2015 года.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новых изданий, поступивших в библиотечные фонды</w:t>
      </w:r>
      <w:r w:rsidR="00AB2926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общедоступных библиотек муниципальной формы собственности на 1000 человек составило 716 экз. что выше  уровня 2013 года на 139 экз., в перспективе показатель будет оставаться на уровне 2013 года,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пользователей общедоступных библиотек всех форм собственности составила 12700 человек и остается на данном уровне до 2018 года.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Книго-выдача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общедоступных библиотеках всех форм собственности составляет 338,3 тыс.экз., данный показатель останется стабильным до 2018 года по обеим вариантам.</w:t>
      </w:r>
    </w:p>
    <w:p w:rsidR="0090355F" w:rsidRDefault="00E74478">
      <w:pPr>
        <w:widowControl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Анализируя деятельность ЦБС, можно отметить стабильную работу всех библиотек системы. Наблюдается, хотя и  незначительный прирост книжного фонда, что положительно сказывается на удовлетворении информационных потребностей пользователей.</w:t>
      </w:r>
    </w:p>
    <w:p w:rsidR="0090355F" w:rsidRDefault="00E74478">
      <w:pPr>
        <w:widowControl/>
        <w:ind w:firstLine="83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Приоритетным направлением в библиотечном деле остается 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комплектование библиотечных фондов</w:t>
      </w:r>
      <w:r>
        <w:rPr>
          <w:rFonts w:ascii="Times New Roman CYR" w:hAnsi="Times New Roman CYR" w:cs="Times New Roman CYR"/>
          <w:kern w:val="20"/>
          <w:sz w:val="28"/>
          <w:szCs w:val="28"/>
        </w:rPr>
        <w:t>:</w:t>
      </w:r>
    </w:p>
    <w:p w:rsidR="0090355F" w:rsidRDefault="00E74478">
      <w:pPr>
        <w:widowControl/>
        <w:ind w:firstLine="83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обеспечение планомерного систематического ежегодного обновления фондов библиотек;</w:t>
      </w:r>
    </w:p>
    <w:p w:rsidR="0090355F" w:rsidRDefault="00E74478">
      <w:pPr>
        <w:widowControl/>
        <w:ind w:firstLine="83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- расширение видовой структуры фондов библиотек (ежегодное приобретение не менее 400 документов на электронных носителях, аудиокассетах,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компкт-дисках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r>
        <w:rPr>
          <w:kern w:val="20"/>
          <w:sz w:val="28"/>
          <w:szCs w:val="28"/>
          <w:lang w:val="en-US"/>
        </w:rPr>
        <w:t>CD</w:t>
      </w:r>
      <w:r>
        <w:rPr>
          <w:rFonts w:ascii="Times New Roman CYR" w:hAnsi="Times New Roman CYR" w:cs="Times New Roman CYR"/>
          <w:kern w:val="20"/>
          <w:sz w:val="28"/>
          <w:szCs w:val="28"/>
        </w:rPr>
        <w:t>-</w:t>
      </w:r>
      <w:r>
        <w:rPr>
          <w:kern w:val="20"/>
          <w:sz w:val="28"/>
          <w:szCs w:val="28"/>
          <w:lang w:val="en-US"/>
        </w:rPr>
        <w:t>ROM</w:t>
      </w:r>
      <w:r>
        <w:rPr>
          <w:rFonts w:ascii="Times New Roman CYR" w:hAnsi="Times New Roman CYR" w:cs="Times New Roman CYR"/>
          <w:kern w:val="20"/>
          <w:sz w:val="28"/>
          <w:szCs w:val="28"/>
        </w:rPr>
        <w:t>).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учреждений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культурно-досугового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типа всех форм собственности составляет 30ед.</w:t>
      </w:r>
      <w:r>
        <w:rPr>
          <w:rFonts w:ascii="Times New Roman CYR" w:hAnsi="Times New Roman CYR" w:cs="Times New Roman CYR"/>
          <w:kern w:val="20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работников в них составляет 187 чел.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мест в зрительных залах учреждений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культурно-досугового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типа всех форм собственности на протяжении ряда лет составляет 4155 мест.</w:t>
      </w:r>
    </w:p>
    <w:p w:rsidR="0090355F" w:rsidRDefault="00E74478">
      <w:pPr>
        <w:widowControl/>
        <w:spacing w:after="120"/>
        <w:ind w:firstLine="567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посетителей на платных мероприятиях учреждений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культурно-досугового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типа всех форм собственности в 2014 году составила 37407 человек, что на 1578 чел., выше уровня 2013 года, рост показателя в краткосрочной перспективе, ограничен сокращением численности населения. .</w:t>
      </w:r>
    </w:p>
    <w:p w:rsidR="0090355F" w:rsidRDefault="00E74478">
      <w:pPr>
        <w:widowControl/>
        <w:spacing w:after="120"/>
        <w:ind w:right="-39" w:firstLine="60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Базовым элементом является  деятельность самодеятельных объединений граждан - 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клубные </w:t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  <w:highlight w:val="white"/>
        </w:rPr>
        <w:t xml:space="preserve"> формирования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всем направлениям личностно-творческой и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социокультурной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деятельности.  В 2014 году в учреждениях клубного типа осуществляли свою деятельность 206 клубных формирования, в которых занимались любительским художественным творчеством и овладевали полезными навыками 2707 человек, что практически на уровне значения показателя 2013 года. </w:t>
      </w:r>
    </w:p>
    <w:p w:rsidR="00AB2926" w:rsidRDefault="00AB2926">
      <w:pPr>
        <w:widowControl/>
        <w:spacing w:after="120"/>
        <w:ind w:right="-39" w:firstLine="60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Наиболее </w:t>
      </w:r>
      <w:r w:rsidR="00E74478">
        <w:rPr>
          <w:rFonts w:ascii="Times New Roman CYR" w:hAnsi="Times New Roman CYR" w:cs="Times New Roman CYR"/>
          <w:kern w:val="20"/>
          <w:sz w:val="28"/>
          <w:szCs w:val="28"/>
        </w:rPr>
        <w:t xml:space="preserve"> востребованные жанры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такие как: </w:t>
      </w:r>
      <w:r w:rsidR="00E74478">
        <w:rPr>
          <w:rFonts w:ascii="Times New Roman CYR" w:hAnsi="Times New Roman CYR" w:cs="Times New Roman CYR"/>
          <w:kern w:val="20"/>
          <w:sz w:val="28"/>
          <w:szCs w:val="28"/>
        </w:rPr>
        <w:t xml:space="preserve"> хореографический, фольклорный, изобразительный,  вокальный, художественное слово, декоративно - прикладное творчество. </w:t>
      </w:r>
    </w:p>
    <w:p w:rsidR="0090355F" w:rsidRDefault="00E74478">
      <w:pPr>
        <w:widowControl/>
        <w:spacing w:after="120"/>
        <w:ind w:right="-39" w:firstLine="60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Из года в год  количество клубных формирований и их участников растет.</w:t>
      </w:r>
    </w:p>
    <w:p w:rsidR="0090355F" w:rsidRDefault="00E74478">
      <w:pPr>
        <w:widowControl/>
        <w:spacing w:after="120"/>
        <w:ind w:right="-39" w:firstLine="60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района работает МБУК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районный краеведческий музей 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им.Н.Ф.Летягина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с численностью 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работников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3 человека.</w:t>
      </w:r>
    </w:p>
    <w:p w:rsidR="0090355F" w:rsidRDefault="00E74478">
      <w:pPr>
        <w:widowControl/>
        <w:spacing w:after="120"/>
        <w:ind w:right="-39" w:firstLine="60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предметов основного фонда в 2014 году составило 2207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ед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, что выше уровня 2013 года на 200 ед.</w:t>
      </w:r>
    </w:p>
    <w:p w:rsidR="0090355F" w:rsidRDefault="00E74478">
      <w:pPr>
        <w:widowControl/>
        <w:spacing w:after="120"/>
        <w:ind w:right="-39" w:firstLine="60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Процент экспонируемых предметов от числа предметов основного фонда  составил 85 %, остался неизменным к уровню  в 2013 года. Численность посетителей составила 2800 чел., на 200 чел. выше уровня 2013 года.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 xml:space="preserve">Одним из основных факторов, влияющих на эффективность работы учреждений района, является морально устаревшее оборудование, нехватка помещений, недостаточность средств на проведение косметического или капитального ремонта здания, необходимость оснащения современными средствами пожаротушения и оповещения о пожаре. Только 5 учреждений, что составляет 9 % от общего количества объектов, имеют доступ в Интернет – вот далеко не весь перечень основных проблем, сдерживающих развитие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современных форм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просветительно-досуговой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деятельности, оказываемых услуг населению района. </w:t>
      </w:r>
    </w:p>
    <w:p w:rsidR="0090355F" w:rsidRDefault="00E74478">
      <w:pPr>
        <w:widowControl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В настоящее время темпы износа зданий учреждений культуры и образовательных учреждений в области культуры района, продолжают отставать от темпов проведения реконструкций и капитальных ремонтов</w:t>
      </w:r>
    </w:p>
    <w:p w:rsidR="0090355F" w:rsidRDefault="00E74478">
      <w:pPr>
        <w:widowControl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итогам 2014 года в рамках реализации мероприятий муниципальной программы "Содействие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развитю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культуры" в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Идринском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районе, в четырёх  культурно -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досуговых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объектах было выполнено ремонтных работ на сумму 767,5 тыс. руб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90355F" w:rsidRDefault="00E74478">
      <w:pPr>
        <w:widowControl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мероприятиям государственной программы Красноярского края "Развитие культуры" приобретено программное  оборудование на сумму 100 тыс. руб., обновлены книжные фонды на сумму 144,1 тыс. руб.</w:t>
      </w:r>
    </w:p>
    <w:p w:rsidR="0090355F" w:rsidRDefault="00E74478">
      <w:pPr>
        <w:widowControl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Федеральной целевой программе "Культура России (на 2012 - 2018 годы)" приобретены музыкальные инструменты для детской школы искусств на сумму 273,0 тыс. руб.</w:t>
      </w:r>
    </w:p>
    <w:p w:rsidR="0090355F" w:rsidRDefault="00E74478">
      <w:pPr>
        <w:widowControl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По целевой программе "О поддержке деятельности муниципальных молодёжных центров", за счёт средств федерального бюджета, с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софинансированием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размере 1 %, из средств местного бюджета, на проведение  мероприятий, в рамках соглашения, освоено 244,97 тыс. руб. </w:t>
      </w:r>
    </w:p>
    <w:p w:rsidR="0090355F" w:rsidRDefault="00E74478">
      <w:pPr>
        <w:widowControl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sz w:val="30"/>
          <w:szCs w:val="30"/>
        </w:rPr>
        <w:t>Н</w:t>
      </w:r>
      <w:r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смотря на</w:t>
      </w:r>
      <w:r w:rsidR="00CE6917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проводимые ремонтные работы, дальнейшая работа в этом направлении остаётся необходимой для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52 (96,5%) объектов  культуры района, из них: 22 библиотеки  (100 % от общего количества библиотек), 26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культурно-досуговых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учреждений (85% от общего количества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культурно-досуговых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учреждений).</w:t>
      </w:r>
    </w:p>
    <w:p w:rsidR="0090355F" w:rsidRDefault="00E74478">
      <w:pPr>
        <w:widowControl/>
        <w:ind w:firstLine="84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Требует незамедлительного ремонта здание детской школы искусств, в приспособленном помещении, нуждающемся в реконструкции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располагается учреждение музейного типа. 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</w:r>
      <w:r>
        <w:rPr>
          <w:rFonts w:ascii="Times New Roman CYR" w:hAnsi="Times New Roman CYR" w:cs="Times New Roman CYR"/>
          <w:kern w:val="20"/>
          <w:sz w:val="28"/>
          <w:szCs w:val="28"/>
        </w:rPr>
        <w:tab/>
      </w: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Основные проблемы</w:t>
      </w:r>
      <w:r>
        <w:rPr>
          <w:rFonts w:ascii="Times New Roman CYR" w:hAnsi="Times New Roman CYR" w:cs="Times New Roman CYR"/>
          <w:kern w:val="20"/>
          <w:sz w:val="28"/>
          <w:szCs w:val="28"/>
        </w:rPr>
        <w:t>:</w:t>
      </w:r>
    </w:p>
    <w:p w:rsidR="0090355F" w:rsidRDefault="00E74478">
      <w:pPr>
        <w:widowControl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слабая материально – техническая база учреждений клубного типа и МОУДОД ДШИ, особенно на уровне сельских поселений;</w:t>
      </w:r>
    </w:p>
    <w:p w:rsidR="0090355F" w:rsidRDefault="00E74478">
      <w:pPr>
        <w:widowControl/>
        <w:ind w:left="360"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отсутствие финансирования на капитальный ремонт зданий; </w:t>
      </w:r>
    </w:p>
    <w:p w:rsidR="0090355F" w:rsidRDefault="00E74478">
      <w:pPr>
        <w:widowControl/>
        <w:ind w:firstLine="360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kern w:val="20"/>
          <w:sz w:val="28"/>
          <w:szCs w:val="28"/>
        </w:rPr>
        <w:t>- из-за отсутствия жилья нет притока молодых специалистов в район.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Исходя из новых требований времени, основными целями в области культуры являются: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сохранение культурного потенциала и культурного наследия района;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обеспечение преемственности развития культуры в районе, наряду с поддержкой культурных инноваций;</w:t>
      </w:r>
    </w:p>
    <w:p w:rsidR="0090355F" w:rsidRDefault="00E74478">
      <w:pPr>
        <w:widowControl/>
        <w:ind w:firstLine="708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развитие и укрепление инфраструктуры отрасли, обеспечивающей единство культурного пространства района, базовые условия для доступа граждан к культурным благам и информационным ресурсам библиотечных и музейных фондов.</w:t>
      </w:r>
    </w:p>
    <w:p w:rsidR="0090355F" w:rsidRDefault="0090355F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20.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Физическая культура и спорт</w:t>
      </w:r>
    </w:p>
    <w:p w:rsidR="00CE6917" w:rsidRDefault="00CE6917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Физическая культура и спорт на территории района представлены 30 спортивными объектами, из них 25 - муницип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а</w:t>
      </w:r>
      <w:r>
        <w:rPr>
          <w:rFonts w:ascii="Times New Roman CYR" w:hAnsi="Times New Roman CYR" w:cs="Times New Roman CYR"/>
          <w:kern w:val="20"/>
          <w:sz w:val="28"/>
          <w:szCs w:val="28"/>
        </w:rPr>
        <w:t>льной формы собственности, из них 12 спортивных залов, 11 - муниципальной формы собственности, большинство которых расположено в общеобразовательных учебных заведениях, 8 плоскостных сооружений муниципа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л</w:t>
      </w:r>
      <w:r>
        <w:rPr>
          <w:rFonts w:ascii="Times New Roman CYR" w:hAnsi="Times New Roman CYR" w:cs="Times New Roman CYR"/>
          <w:kern w:val="20"/>
          <w:sz w:val="28"/>
          <w:szCs w:val="28"/>
        </w:rPr>
        <w:t>ьной формы собственности.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Уровень фактической обеспеченности спортивными залами от нормативной потребности составляет 63,38 %, что выше уровня 2013 года на 1,7 %. Рост показателя, при неизменном числе спортивных объектов, обусловлен снижением численности населения.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Число занимающихся физической культурой и спортом в районе с каждым годом увеличивается, если в 2012 году   2460 человек были охвачены занятием спортом, то в 2014году, данный показатель уже составляет 3215 человек .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Как следствие растет удельный вес населения, систематически занимающегося физической культурой и спортом, с 19,92 % по итогам  2012 года, составил  29,57 % в 2014 году. По оценке 2015 года он достигнет значения 30,07 %. 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Доля учащихся и студентов, систематически занимающихся физической культурой и спортом, в общей численности учащихся и студентов с 33, 79 % в 2012 году, по итогам 2013 года составила 82,4 %, показатель итогов 2014 года - 80,81 %, оценка 2015 года - 81,76 %.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Численность штатных работников физической культуры и спорта составляет 40 человек, увеличилась на 4 человека, не за счёт расширения штатов, а за счёт наполнения в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а</w:t>
      </w:r>
      <w:r>
        <w:rPr>
          <w:rFonts w:ascii="Times New Roman CYR" w:hAnsi="Times New Roman CYR" w:cs="Times New Roman CYR"/>
          <w:kern w:val="20"/>
          <w:sz w:val="28"/>
          <w:szCs w:val="28"/>
        </w:rPr>
        <w:t>кантных единиц.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района работает детско-юношеская спортивная школа, которая не является самостоятельной структурной единицей, а находится в ведении образования. Численность учащихся, данного учреждения составляет, по итогам 2014 года 270 чел., практически на уровне показателя 2013 года, увеличение составляет - 5 человек.  </w:t>
      </w:r>
    </w:p>
    <w:p w:rsidR="0090355F" w:rsidRDefault="0090355F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ind w:firstLine="426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результатам реализации мероприятий муниципальной подпрограммы «Развитие физкультуры и спорта" на 2014 - 2016 годы  по итогам 2014 года приобретён спортивный инвентарь и оборудование на сумму 215,2 тыс. руб., за счёт средств районного бюджета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 w:rsidR="00CE6917">
        <w:rPr>
          <w:rFonts w:ascii="Times New Roman CYR" w:hAnsi="Times New Roman CYR" w:cs="Times New Roman CYR"/>
          <w:kern w:val="20"/>
          <w:sz w:val="28"/>
          <w:szCs w:val="28"/>
        </w:rPr>
        <w:t>П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ри плане 440,6 тыс. руб., фактические собственные доходы местного бюджета, не позволили произвести финансирование мероприятий до предусмотренных по программе сумм.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Основными проблемами отрасли на сегодняшний день были и остаются такие как: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-неразвитая инфраструктура массового спорта;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-устаревшая материальная базы для занятий физической культуры в селах;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-отсутствие кадров, организующих деятельность спортивной работы на местах, если в районном центре она ведется за счет энтузиастов, то в селах сведена практически к нулю;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-имеющиеся спортивные залы, в населенных пунктах используются не в полном объеме, из-за малого количества часов, выделяемых преподавателям физкультуры, на организацию работы спортивных  кружков и секций, что в конечном итоге сказывается на достижении результатов и целеустремлённости занимающихся в этих секциях;</w:t>
      </w:r>
    </w:p>
    <w:p w:rsidR="0090355F" w:rsidRDefault="00E74478">
      <w:pPr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>- в последние годы в районе практически не реализуется строительство новых спортивных сооружений, а когда-то функционирующие хоккейные коробки и футбольные поля остро нуждаются в реконструкции и восстановлении, что не позволяет собственная доходная база района.</w:t>
      </w:r>
    </w:p>
    <w:p w:rsidR="0090355F" w:rsidRDefault="0090355F">
      <w:pPr>
        <w:rPr>
          <w:rFonts w:ascii="Arial" w:hAnsi="Arial" w:cs="Arial"/>
          <w:sz w:val="16"/>
          <w:szCs w:val="16"/>
        </w:rPr>
      </w:pPr>
    </w:p>
    <w:p w:rsidR="0090355F" w:rsidRDefault="0090355F">
      <w:pPr>
        <w:rPr>
          <w:rFonts w:ascii="Arial" w:hAnsi="Arial" w:cs="Arial"/>
          <w:sz w:val="16"/>
          <w:szCs w:val="16"/>
        </w:rPr>
      </w:pP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21.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Социальная защита населения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На территории района находятся 2 учреждения социального обслуживания,  не стационарного типа, одно их них муниципальное.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получателей социальных услуг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учреждениях социального обслуживания всех форм собственности в 2014 году составило 5063 человека, что выше уровня 2013 года на 6,3 %. При этом количество получателей социальных услуг в нестационарных учреждениях социального обслуживания семьи и детей – 2007 человек, в нестационарных учреждениях социальных  центрах – 3056 человек, что составляет 110,5 % к фактическому уровню 2013 года. 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населения, состоящего на учете в органах социальной защиты населения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2014 году составила 8511 чел., что выше  уровня 2013 года на 62 чел., в том числе пенсионеров 3924 человека, на 40 человек ниже показателя 2013 года.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получателей ежемесячного пособия на ребенка составляет 843 чел., численность детей, на которых выплачивается ежемесячное пособие на ребенка – 1635 чел., что составляет 100,7 % к уровню 2013 года.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отдельных категорий граждан, имеющих право на меры социальной поддержки в соответствии законодательством Российской Федерации и субъекта Российской Федерации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составляет 4166 человек, остаётся на уровне 2013 года. 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Численность граждан, пользующихся мерами социальной поддержкой по оплате жилья и коммунальных услуг в соответствии с законодательством Российской Федерации и субъекта Российской Федерации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составила 5200 чел.,  на 775 чел. больше, чем в 2013 году.  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Объем средств, направленный на предоставление мер социальной поддержки по оплате жилья и коммунальных услуг по итогам 2014года составил 32369,2 тыс. руб., что составляет 90,2 % к уровню 2013 года.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средств, направленных на предоставление субсидий гражданам в качестве помощи для оплаты жилья и коммунальных услуг с учетом их доходов с 6624,6 тыс. руб., по итогам 2013 года, сократился до показателя 3851,9 тыс. руб. по итогам 2014 года. Сокращение данного показателя говорит о росте реальных доходов населения и сокращении численности получателей  данного вида поддержки, с 11045 по итогам 2013 года, до 707 семей, по итогам 2014года. А та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>к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же увеличением допустимой доли расходов на оплату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- коммунальных услуг, в общей сумме доходов семьи.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Управление социальной защиты населения администрации района осуществляет полномочия районной администрации в области социальной защиты граждан пожилого возраста, ветеранов, инвалидов, граждан,  оказавшихся  в трудной жизненной ситуации, а также семей, имеющих детей.</w:t>
      </w:r>
    </w:p>
    <w:p w:rsidR="0090355F" w:rsidRDefault="00E74478">
      <w:pPr>
        <w:widowControl/>
        <w:ind w:firstLine="60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Для осуществления данных полномочий управление социальной защиты решает следующие задачи:</w:t>
      </w:r>
    </w:p>
    <w:p w:rsidR="0090355F" w:rsidRDefault="00E74478" w:rsidP="00E74478">
      <w:pPr>
        <w:numPr>
          <w:ilvl w:val="0"/>
          <w:numId w:val="1"/>
        </w:numPr>
        <w:ind w:left="720" w:hanging="360"/>
        <w:jc w:val="both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Повышение уровня социальной защищенности отдельных граждан:</w:t>
      </w:r>
    </w:p>
    <w:p w:rsidR="0090355F" w:rsidRDefault="00E74478">
      <w:pPr>
        <w:widowControl/>
        <w:tabs>
          <w:tab w:val="left" w:pos="720"/>
        </w:tabs>
        <w:jc w:val="both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-выплата пособий гражданам, имеющим детей;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-предоставление мер социальной поддержки ветеранам труда, труженикам тыла, реабилитированным лицам и лицам, признанным пострадавшими от политических репрессий, инвалидам и другим категориям граждан, имеющим право на меры социальной поддержки;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-повышение эффективности государственной поддержки граждан при предоставлении жилищных субсидий на оплату жилья и коммунальных услуг;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-усиление принципа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адресности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при реализации инициативных обязательств;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-оказание гражданам, остро нуждающимся в социальной поддержке, материальной помощи разового характера, направленной на поддержание их жизнедеятельности.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2.Обеспечение доступности и повышение качества социальных услуг: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-выявление и дифференцированный учет граждан, нуждающихся в социальной поддержке, определение необходимых им форм помощи и периодичности (постоянно, временно, на разовой основе) ее предоставления;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-определение конкретных форм помощи гражданам, нуждающимся в социальном обслуживании, исходя из состояния их здоровья, 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>степени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самообслуживани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>я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 материально-бытового положения;</w:t>
      </w:r>
    </w:p>
    <w:p w:rsidR="0090355F" w:rsidRDefault="00E74478" w:rsidP="00351144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-оказание необходимых социально-бытовых, социально-медицинских, социально-психологических,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социально-педагогических,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оциально-экономических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социально-правовых услуг гражданам, частично утратившим способность к самообслуживанию, с целью создания условий для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пребывания их в </w:t>
      </w:r>
      <w:r w:rsidR="00351144">
        <w:rPr>
          <w:rFonts w:ascii="Times New Roman CYR" w:hAnsi="Times New Roman CYR" w:cs="Times New Roman CYR"/>
          <w:kern w:val="20"/>
          <w:sz w:val="28"/>
          <w:szCs w:val="28"/>
        </w:rPr>
        <w:t xml:space="preserve">адаптированной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среде обитания, а так же осуществление социального патронажа;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-проведение социально-реабилитационных и оздоровительных мероприятий инвалидам (в том числе детям-инвалидам) в соответствии с индивидуальной программой реабилитации и гражданам пожилого возраста, сохранившим способность к самообслуживанию или частично ее утратившим;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-внедрение в практику новых и более эффективных форм социального обслуживания населения.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-привлечение различных  государственных, муниципальных органов и организаций, а также общественных объединений к решению вопросов социальной помощи гражданам, оказавшимся в трудной жизненной ситуации:</w:t>
      </w:r>
    </w:p>
    <w:p w:rsidR="0090355F" w:rsidRDefault="00E74478">
      <w:pPr>
        <w:widowControl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-обеспечение деятельности и укрепление материально-технической базы учреждений социального обслуживания.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При управлении социальной защиты населения функционирует социальное учреждение муниципальной формы собственности МУСО “Центр социального обслуживания "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". Функцией Центра является оказание помощи гражданам и семьям, попавшим в трудную жизненную ситуацию. При Центре осуществляют деятельность следующие отделения: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  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-отделение  социальной помощи на дому;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   -социально-реабилитационное отделение.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Отделение социальной помощи на дому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- создано для временного (до 6 мес.) или постоянного оказания гражданам, частичного утратившим способность к самообслуживанию и нуждающимся в посторонней поддержке, социально-бытовой помощи в надомных условиях. Деятельность социального отделения направлена на максимально возможное продление пребывания граждан в </w:t>
      </w:r>
      <w:r w:rsidR="004273CF">
        <w:rPr>
          <w:rFonts w:ascii="Times New Roman CYR" w:hAnsi="Times New Roman CYR" w:cs="Times New Roman CYR"/>
          <w:kern w:val="20"/>
          <w:sz w:val="28"/>
          <w:szCs w:val="28"/>
        </w:rPr>
        <w:t xml:space="preserve">адаптированной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среде обитания и поддержания их социального, психологического и физического статуса.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Обслуживание на дому граждан осуществляется путем предоставления им, в зависимости от степени их характера нуждаемости, социально-бытовых, консультативных и иных услуг, входящих в федеральный и территориальный перечень гарантированных государством социальных услуг, оказываемых государственными муниципальными учреждениям социального обслуживания.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 xml:space="preserve">Социально-реабилитационное отделение - 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предназначено для проведения оздоровительных и социально-реабилитационных мероприятий, социально-бытового, культурного обслуживания граждан, утративших способность к самообслуживанию или частично ее утратившим, организации отдыха, привлечения к посильной трудовой деятельности и поддержания активного образа жизни. 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Основной задачей социально-реабилитационного отделения является поддержание у граждан возможностей самореализации жизненно важных потребностей путем укрепления их здоровья, повышения физической активности, нормализации психического статуса.</w:t>
      </w:r>
    </w:p>
    <w:p w:rsidR="0090355F" w:rsidRDefault="00E74478">
      <w:pPr>
        <w:widowControl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Удельный вес граждан пожилого возраста и инвалидов, получивших государственные услуги в центре, от общего числа обратившихся граждан пожилого возраста и инвалидов составил в  2013 г. 97,5 %.</w:t>
      </w:r>
    </w:p>
    <w:p w:rsidR="0090355F" w:rsidRDefault="00E74478">
      <w:pPr>
        <w:widowControl/>
        <w:suppressAutoHyphens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Показателем результативности служит отсутствие обоснованных жалоб на сроки и качество предоставленных социальных услуг с 2007 года по 2014 год. 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4928D9">
        <w:rPr>
          <w:b/>
          <w:bCs/>
          <w:color w:val="000000"/>
          <w:sz w:val="28"/>
          <w:szCs w:val="28"/>
        </w:rPr>
        <w:t xml:space="preserve">22.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Жилищно-коммунальное хозяйство</w:t>
      </w:r>
    </w:p>
    <w:p w:rsidR="004A50DF" w:rsidRDefault="004A50DF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района предоставляют жилищно-коммунальные услуги 2 предприятия – ЗАО «Заря», которое занимается производством тепловой энергии и муниципальное предприятие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сельсовета «Служба благоустройства, которое предоставляет услуги по холодному водоснабжению, водоотведению и вывозу ТБО. 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Среднемесячная заработная плата работников, данных предприятий, остаётся ниже среднего показателя по муниципальному образованию и составила по итогам 2014 года 12193,15 руб., увеличение к уровню 2013 года - 5,5 %.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Численность работающих в отрасли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жилищно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– коммунального хозяйства за последние годы сократилась со 127 человек в 2011 году, до 54 человек в 2014 году, или на 57,5 %. Снижение численности работающих связано с ликвидацией предприятия ООО </w:t>
      </w:r>
      <w:r w:rsidRPr="004928D9">
        <w:rPr>
          <w:kern w:val="20"/>
          <w:sz w:val="28"/>
          <w:szCs w:val="28"/>
        </w:rPr>
        <w:t>"</w:t>
      </w:r>
      <w:r>
        <w:rPr>
          <w:rFonts w:ascii="Times New Roman CYR" w:hAnsi="Times New Roman CYR" w:cs="Times New Roman CYR"/>
          <w:kern w:val="20"/>
          <w:sz w:val="28"/>
          <w:szCs w:val="28"/>
        </w:rPr>
        <w:t>Коммунальщик</w:t>
      </w:r>
      <w:r w:rsidRPr="004928D9">
        <w:rPr>
          <w:kern w:val="20"/>
          <w:sz w:val="28"/>
          <w:szCs w:val="28"/>
        </w:rPr>
        <w:t>"</w:t>
      </w:r>
      <w:r>
        <w:rPr>
          <w:rFonts w:ascii="Times New Roman CYR" w:hAnsi="Times New Roman CYR" w:cs="Times New Roman CYR"/>
          <w:kern w:val="20"/>
          <w:sz w:val="28"/>
          <w:szCs w:val="28"/>
        </w:rPr>
        <w:t>.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 районе осуществляют деятельность три  товарищества собственников жилья, одна управляющая компания. 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сумма расходов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реализации жилищно-коммунальных услуг организаций жилищно-коммунального хозяйства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итогам года составила 19913 тыс. руб., что ниже уровня 2013 года на 8,2 %. Снижение показателя обусловлено установкой приборов учёта потребления холодной воды, а также сокращением выработки тепловой энергии, в связи с более высоким температурным режимом 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наружн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>о</w:t>
      </w:r>
      <w:r>
        <w:rPr>
          <w:rFonts w:ascii="Times New Roman CYR" w:hAnsi="Times New Roman CYR" w:cs="Times New Roman CYR"/>
          <w:kern w:val="20"/>
          <w:sz w:val="28"/>
          <w:szCs w:val="28"/>
        </w:rPr>
        <w:t>го воздуха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в отопительный период.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сумма доходов от реализации жилищно-коммунальных услуг организаций, оказывающих жилищно-коммунальные услуги, с учетом финансирования из бюджетов всех уровней составила 19352,7 тыс. руб., что составляет 91,1 % к уровню 2013 года.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Стоимость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предоставленных населению жилищно-коммунальных услуг, рассчитанная по экономически обоснованным тарифам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итогам 2014 года составила 10688,0 тыс. руб., уровень возмещения населением затрат на предоставление жилищно-коммунальных услуг по установленным для населения тарифам составил 97,2 %, что выше уровня 2013 года на 1,3 %.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Начислено (предъявлено) жилищно-коммунальных платежей населению за 2014 год 10369,4 тыс. руб., что выше уровня 2013 года на 4,5%. Фактически </w:t>
      </w: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>оплачено населением жилищно-коммунальных услуг года 10283,0 тыс. рублей, прирост к уровню 2013 года составляет 11,1 %.</w:t>
      </w:r>
    </w:p>
    <w:p w:rsidR="0090355F" w:rsidRDefault="00E74478">
      <w:pPr>
        <w:widowControl/>
        <w:spacing w:after="120"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Уровень собираемости платежей за предоставленные жилищно-коммунальные услуги в 2014 году составил 99,2%%, что выше уровня 2013 года на 5,5%. Начисление платы за жилищно-коммунальные услуги и сбор платежей, производится централизованно, не зависимо от способа управления, расчётно-кассовым центром, при управляющей компании.</w:t>
      </w:r>
    </w:p>
    <w:p w:rsidR="0090355F" w:rsidRDefault="00E74478">
      <w:pPr>
        <w:widowControl/>
        <w:spacing w:after="120"/>
        <w:ind w:firstLine="709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Из бюджетов всех уровней в 2014 году финансирование ЖКХ составило 15146,0 млн.руб., что ниже уровня 2013 года на 29,1 %. Значение показателя варьирует от объёмов финансирования мероприятий, направленных на повышение эксплуатационной надежности объектов жизнеобеспечения муниципальных образований края. </w:t>
      </w:r>
    </w:p>
    <w:p w:rsidR="0090355F" w:rsidRDefault="00E74478">
      <w:pPr>
        <w:widowControl/>
        <w:ind w:firstLine="480"/>
        <w:jc w:val="right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Таблица 7</w:t>
      </w:r>
    </w:p>
    <w:p w:rsidR="0090355F" w:rsidRDefault="00E74478">
      <w:pPr>
        <w:widowControl/>
        <w:ind w:firstLine="480"/>
        <w:jc w:val="center"/>
        <w:rPr>
          <w:rFonts w:ascii="Times New Roman CYR" w:hAnsi="Times New Roman CYR" w:cs="Times New Roman CYR"/>
          <w:b/>
          <w:bCs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Сведения о жилищном фонде</w:t>
      </w:r>
    </w:p>
    <w:p w:rsidR="0090355F" w:rsidRDefault="0090355F">
      <w:pPr>
        <w:widowControl/>
        <w:ind w:firstLine="480"/>
        <w:jc w:val="center"/>
        <w:rPr>
          <w:rFonts w:ascii="Times New Roman CYR" w:hAnsi="Times New Roman CYR" w:cs="Times New Roman CYR"/>
          <w:kern w:val="2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312"/>
        <w:gridCol w:w="1318"/>
        <w:gridCol w:w="1370"/>
        <w:gridCol w:w="1337"/>
        <w:gridCol w:w="1269"/>
      </w:tblGrid>
      <w:tr w:rsidR="0090355F">
        <w:tc>
          <w:tcPr>
            <w:tcW w:w="4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Показатели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2011 г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2012 г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2013 г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2014 г</w:t>
            </w:r>
          </w:p>
        </w:tc>
      </w:tr>
      <w:tr w:rsidR="0090355F">
        <w:tc>
          <w:tcPr>
            <w:tcW w:w="4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4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Площадь жилых помещений, всего тыс. кв.м.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298,2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299,3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296,9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297,3</w:t>
            </w:r>
          </w:p>
        </w:tc>
      </w:tr>
      <w:tr w:rsidR="0090355F">
        <w:tc>
          <w:tcPr>
            <w:tcW w:w="4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4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 xml:space="preserve">В том числе: в частной собственности граждан 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268,2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270,6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267,9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268,8</w:t>
            </w:r>
          </w:p>
        </w:tc>
      </w:tr>
      <w:tr w:rsidR="0090355F">
        <w:tc>
          <w:tcPr>
            <w:tcW w:w="4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4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- в муниципальной собственности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30,0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28,7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24,4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23,7</w:t>
            </w:r>
          </w:p>
        </w:tc>
      </w:tr>
      <w:tr w:rsidR="0090355F">
        <w:tc>
          <w:tcPr>
            <w:tcW w:w="4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4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Введено в эксплуатацию жилья-всего, кв. м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1236,4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1740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2612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2018</w:t>
            </w:r>
          </w:p>
        </w:tc>
      </w:tr>
      <w:tr w:rsidR="0090355F">
        <w:tc>
          <w:tcPr>
            <w:tcW w:w="43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4"/>
              <w:rPr>
                <w:rFonts w:ascii="Times New Roman CYR" w:hAnsi="Times New Roman CYR" w:cs="Times New Roman CYR"/>
                <w:kern w:val="20"/>
              </w:rPr>
            </w:pPr>
            <w:r>
              <w:rPr>
                <w:rFonts w:ascii="Times New Roman CYR" w:hAnsi="Times New Roman CYR" w:cs="Times New Roman CYR"/>
                <w:kern w:val="20"/>
              </w:rPr>
              <w:t>ввод в эксплуатацию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1236,4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1740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2445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55F" w:rsidRDefault="00E74478">
            <w:pPr>
              <w:widowControl/>
              <w:spacing w:after="120"/>
              <w:ind w:left="283"/>
              <w:jc w:val="both"/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kern w:val="20"/>
                <w:sz w:val="28"/>
                <w:szCs w:val="28"/>
              </w:rPr>
              <w:t>2018</w:t>
            </w:r>
          </w:p>
        </w:tc>
      </w:tr>
    </w:tbl>
    <w:p w:rsidR="0090355F" w:rsidRDefault="0090355F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 xml:space="preserve">Ввод в эксплуатацию жилых домов за счет всех источников финансирования в 2014 году составил 2018 кв.м., что ниже уровня 2013 года на 29,4 %. В районе строительство жилья осуществляется, в основном, за счет средств населения. </w:t>
      </w:r>
      <w:r>
        <w:rPr>
          <w:rFonts w:ascii="Times New Roman CYR" w:hAnsi="Times New Roman CYR" w:cs="Times New Roman CYR"/>
          <w:kern w:val="20"/>
          <w:sz w:val="28"/>
          <w:szCs w:val="28"/>
        </w:rPr>
        <w:t>Общая площадь жилых помещений, приходящихся в среднем на одного жителя, в районе составляет 25,37 кв. метров, рост к уровню 2013 года на  1,9 %.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Площадь земельных участков, предоставленных в отчетном периоде для строительства составила 11,25 га., в том числе под индивидуальное жилищное строительство - 8,5 га., в 2013 году под индивидуальное жилищное строительство было предоставлено 3,8 га.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Количество семей, состоящих на учете в качестве нуждающихся в жилых помещениях на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 xml:space="preserve"> 31.01.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2014 года - 85 семей.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Количество семей, состоящих на учете в качестве нуждающихся в жилых помещениях по договорам социального найма на конец периода возросло с 16 по итогам 2013 года, до 18 </w:t>
      </w:r>
      <w:r w:rsidR="004A50DF">
        <w:rPr>
          <w:rFonts w:ascii="Times New Roman CYR" w:hAnsi="Times New Roman CYR" w:cs="Times New Roman CYR"/>
          <w:kern w:val="20"/>
          <w:sz w:val="28"/>
          <w:szCs w:val="28"/>
        </w:rPr>
        <w:t xml:space="preserve"> на 31. 01. 2014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года.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По итогам 2014 года 18 семей получили жилые помещения или улучшили жилищные условия.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Водоснабжение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района осуществляется от 19 водопроводных сооружений. Протяжённость водопроводных сетей составляет 69,55 км., нуждающихся в замене - 13,4 км., отремонтировано - 1 км.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Производственная мощность водопроводных насосных станций 1-го подъема составляет 2,7 тыс. куб. м. Объем отпуска холодной вода в 2014 году составил 159,4 тыс.куб.м. в том числе населению 136,1 тыс.куб. м.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Объем отпуска тепловой энергии за 2014 году составил 6,13 тыс.Гкал, что выше уровня 2013 года на 4,6 %.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На территории районного центра функционирует 69 источников теплоснабжения, из них  7 котельных, которые централизованно обеспечивают население района, организации и предприятия теплом. Протяженность паровых, тепловых сетей в двухтрубном исчислении всех форм собственности на конец 2013 года равна 8,82 км., из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нх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4,4 км. муниципальной собственности, 0,04 км. нуждаются в замене. </w:t>
      </w:r>
    </w:p>
    <w:p w:rsidR="0090355F" w:rsidRDefault="00E74478">
      <w:pPr>
        <w:widowControl/>
        <w:ind w:firstLine="482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Район не газифицирован. Уровень благоустройства жилищного фонда (пользующего централизованными энергетическими ресурсами  в процентах от общей площади жилищного фонда) характеризуется следующими  данными: удельный вес жилой площади, оборудованной водопроводом, составляет 10,7  %, центральным отоплением - 2,6 %, горячим водоснабжением (водонагреватели)   обеспечено - 15,7 % площади жилищного фонда.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Для районного бюджета остаётся актуальной задача энергосбережения.</w:t>
      </w:r>
    </w:p>
    <w:p w:rsidR="004A50DF" w:rsidRDefault="00E74478">
      <w:pPr>
        <w:widowControl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Так</w:t>
      </w:r>
      <w:r w:rsidR="004A50D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удельная величина потребления тепловой энергии</w:t>
      </w:r>
      <w:r w:rsidR="004A50D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муниципальными бюджетными учреждениями</w:t>
      </w:r>
      <w:r w:rsidR="004A50D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расчете на 1 кв. метр общей площади</w:t>
      </w:r>
      <w:r w:rsidR="004A50DF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при норме 0,03 Гкал. составила 0,17 Гкал., что ниже уровня 2013 года на 5,9 %. </w:t>
      </w:r>
    </w:p>
    <w:p w:rsidR="0090355F" w:rsidRDefault="00E74478" w:rsidP="004A50DF">
      <w:pPr>
        <w:widowControl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Значение данного показателя зависит не только от тепло-сберегающих мероприятий, состояния зданий (а их износ составляет более 70 %), а также от температурного режима в очередном отопительном сезоне. 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Удельная величина потребления холодной воды муниципальными бюджетными учреждениями в расчете на 1 человека населения в 2014году составила 1,7 м. куб. что ниже уровня прошлого года на 0,1 м.</w:t>
      </w:r>
      <w:r w:rsidR="004A50D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куб.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Удельная величина потребления электрической энергии муниципальными бюджетными учреждениями в расчете на 1 человека населения по итогам 2014 года составила 394,9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квт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  <w:r w:rsidR="004A50DF">
        <w:rPr>
          <w:rFonts w:ascii="Times New Roman CYR" w:hAnsi="Times New Roman CYR" w:cs="Times New Roman CYR"/>
          <w:sz w:val="28"/>
          <w:szCs w:val="28"/>
        </w:rPr>
        <w:t xml:space="preserve"> час., </w:t>
      </w:r>
      <w:r>
        <w:rPr>
          <w:rFonts w:ascii="Times New Roman CYR" w:hAnsi="Times New Roman CYR" w:cs="Times New Roman CYR"/>
          <w:sz w:val="28"/>
          <w:szCs w:val="28"/>
        </w:rPr>
        <w:t xml:space="preserve">что составляет 100,3 % к уровню потребления 2013 года. </w:t>
      </w:r>
    </w:p>
    <w:p w:rsidR="0090355F" w:rsidRDefault="00E74478">
      <w:pPr>
        <w:widowControl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Деятельность жилищно-коммунального хозяйства сопровождается большими потерями энергетических ресурсов при их производстве и потреблении. Кроме того, потери закладываются на стадии строительства, перед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которым до недавнего времени не стояла задача экономии энергоресурсов. В результате, в соответствии с требованиями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СНиП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предстоит решать непростую задачу предотвращения потерь через ограждающие конструкции зданий и сооружений. Расчеты и результаты теплоэнергетических испытаний показывают, что общие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теплопотери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зданий значительно выше нормативных.</w:t>
      </w:r>
    </w:p>
    <w:p w:rsidR="0090355F" w:rsidRDefault="00E74478">
      <w:pPr>
        <w:widowControl/>
        <w:shd w:val="clear" w:color="auto" w:fill="FFFFFF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В 2014 году по Государственной программе Красноярского края "Реформирование и модернизация жилищно-коммунального хозяйства и повышение энергетической эффективности" выполнено работ на сумму 4119,3 тыс. руб., в том числе за счёт средств</w:t>
      </w:r>
      <w:r w:rsidR="007E25F1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краевого бюджета - 4075,5 тыс. руб.,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из местного бюджета - 43,8 тыс. руб. </w:t>
      </w:r>
    </w:p>
    <w:p w:rsidR="0090355F" w:rsidRDefault="00E74478">
      <w:pPr>
        <w:widowControl/>
        <w:shd w:val="clear" w:color="auto" w:fill="FFFFFF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Выполнены работы по капитальному ремонту ветхих водопроводных сетей, водозабора, а также приобретено технологическое оборудование для котельной.</w:t>
      </w:r>
    </w:p>
    <w:p w:rsidR="0090355F" w:rsidRDefault="00E74478">
      <w:pPr>
        <w:widowControl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kern w:val="20"/>
          <w:sz w:val="28"/>
          <w:szCs w:val="28"/>
        </w:rPr>
        <w:t>Основными проблемами в сфере жилищно-коммунального хозяйства в районе является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: </w:t>
      </w:r>
    </w:p>
    <w:p w:rsidR="0090355F" w:rsidRDefault="00E74478">
      <w:pPr>
        <w:widowControl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необходимость замены 19,3 % протяженности, имеющихся водопроводных сетей. Наиболее остро эта проблема стоит с районном центре - 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в сёлах - Большой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Хабык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, Новоберёзовка, Б/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Кныши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Добромысловка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п. Центральный ; </w:t>
      </w:r>
    </w:p>
    <w:p w:rsidR="0090355F" w:rsidRDefault="00E74478">
      <w:pPr>
        <w:widowControl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необходимость расширения водопроводных сетей в 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, как в ранее существовавших улицах , так и на  вновь возводимых жилых массивах ;</w:t>
      </w:r>
    </w:p>
    <w:p w:rsidR="0090355F" w:rsidRDefault="00E74478">
      <w:pPr>
        <w:widowControl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отсутствие очистных сооружений в 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;</w:t>
      </w:r>
    </w:p>
    <w:p w:rsidR="0090355F" w:rsidRDefault="00E74478">
      <w:pPr>
        <w:widowControl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 отсутствие полигона переработки и утилизации ТБО в 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; </w:t>
      </w:r>
    </w:p>
    <w:p w:rsidR="0090355F" w:rsidRDefault="00E74478">
      <w:pPr>
        <w:widowControl/>
        <w:ind w:firstLine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-оснащение современным оборудованием муниципальных котельных в с.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Идринское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;</w:t>
      </w:r>
    </w:p>
    <w:p w:rsidR="0090355F" w:rsidRDefault="00E74478">
      <w:pPr>
        <w:widowControl/>
        <w:ind w:left="4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- отсутствие благоустроенного комфортабельного жилья делает район не привлекательным, в вопросе привлечения молодых специалистов, как в бюджетную сферу, так и в сельскохозяйственный сектор.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00175">
        <w:rPr>
          <w:b/>
          <w:bCs/>
          <w:color w:val="000000"/>
          <w:sz w:val="28"/>
          <w:szCs w:val="28"/>
        </w:rPr>
        <w:t xml:space="preserve">23.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Экологическая ситуация</w:t>
      </w:r>
    </w:p>
    <w:p w:rsidR="00784656" w:rsidRDefault="00E74478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района</w:t>
      </w:r>
      <w:r w:rsidR="007E25F1">
        <w:rPr>
          <w:rFonts w:ascii="Times New Roman CYR" w:hAnsi="Times New Roman CYR" w:cs="Times New Roman CYR"/>
          <w:sz w:val="28"/>
          <w:szCs w:val="28"/>
        </w:rPr>
        <w:t>, осуществляют деятельность 4 организации,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E25F1">
        <w:rPr>
          <w:rFonts w:ascii="Times New Roman CYR" w:hAnsi="Times New Roman CYR" w:cs="Times New Roman CYR"/>
          <w:sz w:val="28"/>
          <w:szCs w:val="28"/>
        </w:rPr>
        <w:t>имеющие</w:t>
      </w:r>
      <w:r>
        <w:rPr>
          <w:rFonts w:ascii="Times New Roman CYR" w:hAnsi="Times New Roman CYR" w:cs="Times New Roman CYR"/>
          <w:sz w:val="28"/>
          <w:szCs w:val="28"/>
        </w:rPr>
        <w:t xml:space="preserve"> выбросы загрязняющих веществ</w:t>
      </w:r>
      <w:r w:rsidR="00784656">
        <w:rPr>
          <w:rFonts w:ascii="Times New Roman CYR" w:hAnsi="Times New Roman CYR" w:cs="Times New Roman CYR"/>
          <w:sz w:val="28"/>
          <w:szCs w:val="28"/>
        </w:rPr>
        <w:t xml:space="preserve"> выше допустимых нормативов. </w:t>
      </w:r>
    </w:p>
    <w:p w:rsidR="00784656" w:rsidRDefault="00E74478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Общее количество источников выбросов загрязняющих веществ составляет 43 ед. Объем загрязняющих веществ, отходящих от стационарных источников загрязнения атмосферного воздуха</w:t>
      </w:r>
      <w:r w:rsidR="0078465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составил в 2014 году по данным статистики 328,27 тонны, что выше уровня 2013 года на 66,27 тонн</w:t>
      </w:r>
      <w:r w:rsidR="00784656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0355F" w:rsidRDefault="00E74478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перспективе</w:t>
      </w:r>
      <w:r w:rsidR="0078465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 виду сложившейся динамики за последние три года, данный показатель сократится к 2018 году до 294 тонн по 1 варианту и до 283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тонн по 2 варианту. Так как в перспективе появление новых источников выброса загрязняющих веществ не планируется.</w:t>
      </w:r>
    </w:p>
    <w:p w:rsidR="0090355F" w:rsidRDefault="00E74478">
      <w:pPr>
        <w:widowControl/>
        <w:spacing w:after="200" w:line="276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загрязняющих веществ, отходящих от стационарных источников загрязнения атмосферного воздуха, уловленных и обезвреженных</w:t>
      </w:r>
      <w:r w:rsidR="0078465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составил 32,02 тонн, что ниже уровня 2013 года на 15,8 тонн.</w:t>
      </w:r>
    </w:p>
    <w:p w:rsidR="0090355F" w:rsidRDefault="00E74478">
      <w:pPr>
        <w:widowControl/>
        <w:spacing w:after="200" w:line="276" w:lineRule="auto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Удельный вес уловленных и обезвреженных вредных веществ в общем объеме загрязняющих веществ, отходящих от стационарных источников загрязнения атмосферного воздуха</w:t>
      </w:r>
      <w:r w:rsidR="0078465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составил в 2014 году 8,9 %.</w:t>
      </w:r>
    </w:p>
    <w:p w:rsidR="0090355F" w:rsidRDefault="00E74478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Выброшено в атмосферный воздух загрязняющих веществ от стационарных источников загрязнения атмосферного воздуха в 2014 году 328,27 тонн.</w:t>
      </w:r>
    </w:p>
    <w:p w:rsidR="0090355F" w:rsidRDefault="00E74478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выбросов в атмосферный воздух загрязняющих веществ от  передвижных источников составил в 2014 году 2798,3 тонны, согласно данных организаций</w:t>
      </w:r>
      <w:r w:rsidR="0078465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которые осуществляют деятельность на территории района. В перспективе показатель увеличивается в связи с увеличением количества автотранспорта на территории района.</w:t>
      </w:r>
    </w:p>
    <w:p w:rsidR="0090355F" w:rsidRDefault="00E74478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Образование отходов производства и потребления за 2014 год на территории района составило 20762,094 тонн, что выше уровня 2013 года в 3,7 раза  за счет того что ранее не все организации района предоставляли отчетность. В перспективе показатель планируется на прежнем уровне, так как открытие новых производств не планируется</w:t>
      </w:r>
      <w:r w:rsidR="00784656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84656">
        <w:rPr>
          <w:rFonts w:ascii="Times New Roman CYR" w:hAnsi="Times New Roman CYR" w:cs="Times New Roman CYR"/>
          <w:sz w:val="28"/>
          <w:szCs w:val="28"/>
        </w:rPr>
        <w:t xml:space="preserve">а </w:t>
      </w:r>
      <w:r>
        <w:rPr>
          <w:rFonts w:ascii="Times New Roman CYR" w:hAnsi="Times New Roman CYR" w:cs="Times New Roman CYR"/>
          <w:sz w:val="28"/>
          <w:szCs w:val="28"/>
        </w:rPr>
        <w:t xml:space="preserve"> работающие предприятия работают стабильно.</w:t>
      </w:r>
    </w:p>
    <w:p w:rsidR="0090355F" w:rsidRDefault="00E74478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Организаций, использующих отходы в качестве вторичных материальных ресурсов, в 2014 году на территории района нет. В качестве вторичных</w:t>
      </w:r>
      <w:r w:rsidR="00784656">
        <w:rPr>
          <w:rFonts w:ascii="Times New Roman CYR" w:hAnsi="Times New Roman CYR" w:cs="Times New Roman CYR"/>
          <w:sz w:val="28"/>
          <w:szCs w:val="28"/>
        </w:rPr>
        <w:t xml:space="preserve"> отходов</w:t>
      </w:r>
      <w:r>
        <w:rPr>
          <w:rFonts w:ascii="Times New Roman CYR" w:hAnsi="Times New Roman CYR" w:cs="Times New Roman CYR"/>
          <w:sz w:val="28"/>
          <w:szCs w:val="28"/>
        </w:rPr>
        <w:t xml:space="preserve"> используются </w:t>
      </w:r>
      <w:r w:rsidR="00784656">
        <w:rPr>
          <w:rFonts w:ascii="Times New Roman CYR" w:hAnsi="Times New Roman CYR" w:cs="Times New Roman CYR"/>
          <w:sz w:val="28"/>
          <w:szCs w:val="28"/>
        </w:rPr>
        <w:t xml:space="preserve">только </w:t>
      </w:r>
      <w:r>
        <w:rPr>
          <w:rFonts w:ascii="Times New Roman CYR" w:hAnsi="Times New Roman CYR" w:cs="Times New Roman CYR"/>
          <w:sz w:val="28"/>
          <w:szCs w:val="28"/>
        </w:rPr>
        <w:t xml:space="preserve">отходы угля. </w:t>
      </w:r>
    </w:p>
    <w:p w:rsidR="0090355F" w:rsidRDefault="0090355F">
      <w:pPr>
        <w:rPr>
          <w:rFonts w:ascii="Arial" w:hAnsi="Arial" w:cs="Arial"/>
          <w:sz w:val="20"/>
          <w:szCs w:val="20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00175">
        <w:rPr>
          <w:b/>
          <w:bCs/>
          <w:color w:val="000000"/>
          <w:sz w:val="28"/>
          <w:szCs w:val="28"/>
        </w:rPr>
        <w:t xml:space="preserve">24.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Правонарушения</w:t>
      </w:r>
    </w:p>
    <w:p w:rsidR="0090355F" w:rsidRDefault="00E74478" w:rsidP="00784656">
      <w:pPr>
        <w:widowControl/>
        <w:spacing w:after="120"/>
        <w:ind w:firstLine="7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За 2014 год зарегистрировано 149 преступлений, что на 10 преступлений меньше, чем  в 2013 году. Количество лиц, совершивших преступления – 111 человек, что ниже уровня 2013 года на 12,6 %. По оценке 2015 года сократить количество преступлений до 145, к 2018 году просматривается тенденция снижения данного показателя до 130 ед. 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Количество преступлений, совершенных в общественных местах – 17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ед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, что выше уровня 2013 года на 21,4 %. К уровню 2012 года, наметилась положительная тенденция, сни</w:t>
      </w:r>
      <w:r w:rsidR="00784656">
        <w:rPr>
          <w:rFonts w:ascii="Times New Roman CYR" w:hAnsi="Times New Roman CYR" w:cs="Times New Roman CYR"/>
          <w:kern w:val="20"/>
          <w:sz w:val="28"/>
          <w:szCs w:val="28"/>
        </w:rPr>
        <w:t>ж</w:t>
      </w:r>
      <w:r>
        <w:rPr>
          <w:rFonts w:ascii="Times New Roman CYR" w:hAnsi="Times New Roman CYR" w:cs="Times New Roman CYR"/>
          <w:kern w:val="20"/>
          <w:sz w:val="28"/>
          <w:szCs w:val="28"/>
        </w:rPr>
        <w:t>ения совершаемых преступлений в общественных местах.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lastRenderedPageBreak/>
        <w:t xml:space="preserve">Возросло количество   преступлений, совершаемых несовершеннолетними или при их участии с 4 -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х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по итогам  2013 года до 8, в 2014 году.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Количество зарегистрированных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дорожно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– транспортных происшествий по итогам 2014 года составило  – 78 единиц, что ниже   уровня 2013 года на 26,4 %., по прогнозу на 2015 год данный показатель планируется улучшить на 4 %, а к плановому периоду 2018 года он должен достигнуть 55ед., что ниже, наиболее благополучного 2014 года, на 29,5 %. 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>Количество подразделений в сфере гражданской обороны, чрезвычайных ситуаций и пожарной безопасности в 2014 году, остаётся на уровне 2013 и представлены: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>- пожарная часть № 51 федерального подчинения;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 xml:space="preserve">-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пожарно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- химическая станция </w:t>
      </w:r>
      <w:r w:rsidRPr="00500175">
        <w:rPr>
          <w:kern w:val="20"/>
          <w:sz w:val="28"/>
          <w:szCs w:val="28"/>
        </w:rPr>
        <w:t xml:space="preserve">1 </w:t>
      </w:r>
      <w:r>
        <w:rPr>
          <w:rFonts w:ascii="Times New Roman CYR" w:hAnsi="Times New Roman CYR" w:cs="Times New Roman CYR"/>
          <w:kern w:val="20"/>
          <w:sz w:val="28"/>
          <w:szCs w:val="28"/>
        </w:rPr>
        <w:t>- го типа КГАУ "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Лесопожарный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центр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>";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kern w:val="20"/>
          <w:sz w:val="28"/>
          <w:szCs w:val="28"/>
        </w:rPr>
        <w:tab/>
        <w:t xml:space="preserve">- 3 подразделениями краевого подчинения - 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Отрокский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, Екатерининский,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Большехабыкский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;</w:t>
      </w:r>
    </w:p>
    <w:p w:rsidR="0090355F" w:rsidRDefault="00E74478">
      <w:pPr>
        <w:widowControl/>
        <w:spacing w:after="12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ab/>
        <w:t xml:space="preserve">- 4 пожарные команды, при Никольском, Новотроицком, </w:t>
      </w: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Большекнышинском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и Романовском сельсоветах, находящиеся на финансировании за счёт средств местного бюджета.</w:t>
      </w:r>
    </w:p>
    <w:p w:rsidR="0090355F" w:rsidRDefault="00E74478">
      <w:pPr>
        <w:widowControl/>
        <w:spacing w:after="120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Общая численность служащих в подразделениях составляет 82 человека.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  <w:sectPr w:rsidR="00553C5A" w:rsidSect="0090355F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500175">
        <w:rPr>
          <w:b/>
          <w:bCs/>
          <w:color w:val="000000"/>
          <w:sz w:val="28"/>
          <w:szCs w:val="28"/>
        </w:rPr>
        <w:t xml:space="preserve">25.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Реализация на территории муниципального образования федеральных и краевых целевых программ</w:t>
      </w:r>
    </w:p>
    <w:p w:rsidR="00B75FD6" w:rsidRDefault="00B75FD6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tbl>
      <w:tblPr>
        <w:tblW w:w="14472" w:type="dxa"/>
        <w:tblInd w:w="95" w:type="dxa"/>
        <w:tblLayout w:type="fixed"/>
        <w:tblLook w:val="0000"/>
      </w:tblPr>
      <w:tblGrid>
        <w:gridCol w:w="60"/>
        <w:gridCol w:w="487"/>
        <w:gridCol w:w="3152"/>
        <w:gridCol w:w="1559"/>
        <w:gridCol w:w="922"/>
        <w:gridCol w:w="1134"/>
        <w:gridCol w:w="992"/>
        <w:gridCol w:w="1134"/>
        <w:gridCol w:w="992"/>
        <w:gridCol w:w="922"/>
        <w:gridCol w:w="850"/>
        <w:gridCol w:w="2268"/>
      </w:tblGrid>
      <w:tr w:rsidR="0090355F" w:rsidTr="00553C5A">
        <w:trPr>
          <w:gridBefore w:val="1"/>
          <w:wBefore w:w="60" w:type="dxa"/>
          <w:trHeight w:val="200"/>
        </w:trPr>
        <w:tc>
          <w:tcPr>
            <w:tcW w:w="14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 Отчет о реализации краевых и федеральных программ на территории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идринского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района за 2014 год.</w:t>
            </w:r>
          </w:p>
        </w:tc>
      </w:tr>
      <w:tr w:rsidR="0090355F" w:rsidTr="00553C5A">
        <w:trPr>
          <w:trHeight w:val="345"/>
        </w:trPr>
        <w:tc>
          <w:tcPr>
            <w:tcW w:w="54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п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1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Наименование программы, подпрограммы (мероприятия)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Главные распорядители бюджетных средств по программе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Краевой бюджет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Федеральный бюджет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Местный бюджет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Итого исполнено по программе (мероприятию), тыс.руб.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Достигнутые результаты от реализованных программных мероприятий (в натуральном выражении), эффект</w:t>
            </w:r>
          </w:p>
        </w:tc>
      </w:tr>
      <w:tr w:rsidR="0090355F" w:rsidTr="00553C5A">
        <w:trPr>
          <w:trHeight w:val="600"/>
        </w:trPr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3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Предусмотрено на 2014 год, тыс.руб.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Исполнено на отчетную дату, тыс.руб.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Предусмотрено на 2014 год, тыс.руб.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Исполнено на отчетную дату, тыс.руб.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Предусмотрено на 2014 год, тыс.руб.</w:t>
            </w:r>
          </w:p>
        </w:tc>
        <w:tc>
          <w:tcPr>
            <w:tcW w:w="9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Исполнено на отчетную дату тыс.руб.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90355F" w:rsidTr="00553C5A">
        <w:trPr>
          <w:trHeight w:val="1290"/>
        </w:trPr>
        <w:tc>
          <w:tcPr>
            <w:tcW w:w="54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3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55F" w:rsidRDefault="0090355F">
            <w:pPr>
              <w:widowControl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90355F" w:rsidTr="00553C5A">
        <w:trPr>
          <w:trHeight w:val="535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Государственная программа "Развитие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17945,49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17945,49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9647,6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9647,6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2807,026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2807,026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30400,116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69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УО администрации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30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в том числе по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меропритиям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517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Капитальный ремонт ДОУ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/сад  филиал МКОУ Никольской СОШ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9647,6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9647,6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964,76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964,76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10612,4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Капитальный ремонт   позволил ввести 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дополни-тельно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40 мест</w:t>
            </w:r>
          </w:p>
        </w:tc>
      </w:tr>
      <w:tr w:rsidR="0090355F" w:rsidTr="00553C5A">
        <w:trPr>
          <w:trHeight w:val="283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Ремонт МБДОУ д</w:t>
            </w:r>
            <w:r w:rsidR="00B75FD6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/сад №1 "Солнышко"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1369,478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1369,478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171,744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171,744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1541,2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Завершен ремонт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/с  “Солнышко» в с.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Идринское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открыты дополнительно 3 группы на 75 мест</w:t>
            </w:r>
          </w:p>
        </w:tc>
      </w:tr>
      <w:tr w:rsidR="0090355F" w:rsidTr="00553C5A">
        <w:trPr>
          <w:trHeight w:val="277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МКОУ д</w:t>
            </w:r>
            <w:r w:rsidR="00B75FD6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/сад"Лукоморье"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619,795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619,795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74,9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Произведен ремонт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/с</w:t>
            </w:r>
          </w:p>
        </w:tc>
      </w:tr>
      <w:tr w:rsidR="0090355F" w:rsidTr="00553C5A">
        <w:trPr>
          <w:trHeight w:val="511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МКОУ д</w:t>
            </w:r>
            <w:r w:rsidR="00B75FD6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/сад"Улыбка" с Отрок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5489,678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5489,678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548,968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548,968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6038,6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Произведен ремонт детского сада в с. Отрок на 20 мест </w:t>
            </w:r>
          </w:p>
        </w:tc>
      </w:tr>
      <w:tr w:rsidR="0090355F" w:rsidTr="00553C5A">
        <w:trPr>
          <w:trHeight w:val="278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МКОУ д</w:t>
            </w:r>
            <w:r w:rsidR="00B75FD6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/сад "Сказка"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3530,142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3530,142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353,014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353,014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3883,2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Произведен ремонт детского сада “Сказка” в с. Майское Утро </w:t>
            </w:r>
          </w:p>
        </w:tc>
      </w:tr>
      <w:tr w:rsidR="0090355F" w:rsidTr="00553C5A">
        <w:trPr>
          <w:trHeight w:val="202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ДОУ д</w:t>
            </w:r>
            <w:r w:rsidR="00B75FD6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/с филиал Екатерининской ООШ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6936,397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6936,397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693,64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7630,0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Открыт новый детский сад в с. Екатериновка на 30 мест </w:t>
            </w:r>
          </w:p>
        </w:tc>
      </w:tr>
      <w:tr w:rsidR="0090355F" w:rsidTr="00553C5A">
        <w:trPr>
          <w:trHeight w:val="381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 xml:space="preserve">Государственная программа Красноярского края «Развитие культуры»: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ОКСМ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48,825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48,825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244,125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1168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Предоставление субсидий бюджетам муниципальных образований на оснащение муниципальных музеев и библиотек Красноярского края программным обеспечением, в том числе для ведения электронного каталога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ОКСМ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28,825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28,825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144,125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комплектование книжными фондами</w:t>
            </w:r>
          </w:p>
        </w:tc>
      </w:tr>
      <w:tr w:rsidR="0090355F" w:rsidTr="00553C5A">
        <w:trPr>
          <w:trHeight w:val="1128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Предоставление субсидий бюджетам муниципальных образований на комплектование книжных фондов библиотек муниципальных образований Красноярского края в 2014 году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ОКСМ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приобретено программное обеспечение</w:t>
            </w:r>
          </w:p>
        </w:tc>
      </w:tr>
      <w:tr w:rsidR="0090355F" w:rsidTr="00553C5A">
        <w:trPr>
          <w:trHeight w:val="422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Федеральная целевая программа «Культура России (на 2012-2018 годы)»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ОКСМ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57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«Развитие системы непрерывного профессионального образования                в области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ОКСМ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приобретены музыкальные инструменты</w:t>
            </w:r>
          </w:p>
        </w:tc>
      </w:tr>
      <w:tr w:rsidR="0090355F" w:rsidTr="00553C5A">
        <w:trPr>
          <w:trHeight w:val="691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Федеральная целевая программа  «О поддержке деятельности муниципальных молодёжных центров»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ОКСМ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22,27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244,97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проведены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мероприятия,согласно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соглашения</w:t>
            </w:r>
          </w:p>
        </w:tc>
      </w:tr>
      <w:tr w:rsidR="0090355F" w:rsidTr="00553C5A">
        <w:trPr>
          <w:trHeight w:val="1113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 xml:space="preserve">Государственная программа Красноярского края «Развитие сельского хозяйства и регулирование рынков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с-х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 xml:space="preserve"> продукции, сырья и продовольствия» на 2014-2020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 xml:space="preserve">Министерство сельского хозяйства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Краяноярского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 xml:space="preserve"> края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39614,2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39013,2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13782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13782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53398,3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Развитие сельского хозяйства на территории муниципального образования</w:t>
            </w:r>
          </w:p>
        </w:tc>
      </w:tr>
      <w:tr w:rsidR="0090355F" w:rsidTr="00553C5A">
        <w:trPr>
          <w:trHeight w:val="1129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Государственная программа "Реформирование и модернизация жилищно-коммунального хозяйства и повышение энергетической эффективности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4075,5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41,5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4119,3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833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подпрограмма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«Модернизация, реконструкция и капитальный ремонт объектов коммунальной инфраструктуры муниципальных образований Красноярского края» на 2014-2016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315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 том числе по мероприятиям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581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Капитальный ремонт ветхих сетей  водоснабжения в п.Майский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Добромысловский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263,0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заменено 0,1 км водопроводной сети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Ду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100 мм. Планируемый экономический эффект - 106,6 тыс. руб.</w:t>
            </w:r>
          </w:p>
        </w:tc>
      </w:tr>
      <w:tr w:rsidR="0090355F" w:rsidTr="00553C5A">
        <w:trPr>
          <w:trHeight w:val="689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Капитальный ремонт водозаборного узла №3 по ул. Трактовая, 1"А" в с.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Идринское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Идринский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1212,0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заменено 0,13 км водопроводной сети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Ду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100 мм. Бурение скважины глубиной 15м. Установка глубинного насоса. Планируемый экономический эффект - 197,8 тыс. руб.</w:t>
            </w:r>
          </w:p>
        </w:tc>
      </w:tr>
      <w:tr w:rsidR="0090355F" w:rsidTr="00553C5A">
        <w:trPr>
          <w:trHeight w:val="475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Капитальный ремонт ветхих сетей  водоснабжения в с. Новотроицкое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Новотроицкий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787,8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заменено 0,775 км водопроводной сети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Ду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40. Планируемый экономический эффект - 160,9 тыс. руб.</w:t>
            </w:r>
          </w:p>
        </w:tc>
      </w:tr>
      <w:tr w:rsidR="0090355F" w:rsidTr="00553C5A">
        <w:trPr>
          <w:trHeight w:val="483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Приобретение машины вакуумной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Идринский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1666,5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приобретена машина  КО-529-11 на базе шасси МАЗ-457W1. Снижение затрат на ремонт и восстановление ассенизаторской машины - 310,0 тыс. руб.   </w:t>
            </w:r>
          </w:p>
        </w:tc>
      </w:tr>
      <w:tr w:rsidR="0090355F" w:rsidTr="00553C5A">
        <w:trPr>
          <w:trHeight w:val="703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Приобретение технологического оборудования  для котельной №3 в с.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Идринское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Идринский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сельсовет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190,0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Приобретён циклон БЦ 259. Оборудование поставлено в срок до 30.11.2014 со дня заключения контракта. Планируемый экономический эффект - 135,0 тыс. руб.</w:t>
            </w:r>
          </w:p>
        </w:tc>
      </w:tr>
      <w:tr w:rsidR="0090355F" w:rsidTr="00553C5A">
        <w:trPr>
          <w:trHeight w:val="632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ФУ администрации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135798,4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135798,4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135798,4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315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Предоставление дотаций поселениям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14633,8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14633,8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14633,8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60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Поддержка мер по обеспечению сбалансированности бюджетов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11093,5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11093,5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11093,5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315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105925,8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105925,8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105925,8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60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выравнивание обеспеченности по реализации ими расходных обязательств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4145,3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4145,3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525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Государственная программа "Содействие развитию местного самоуправления"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ФУ администрации района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3644,61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3644,61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3644,61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60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реализация проектов по благоустройству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812,82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812,82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812,82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60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расходы направленные на создание безопасных и комфортных условий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2831,79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2831,79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2831,79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  <w:tr w:rsidR="0090355F" w:rsidTr="00553C5A">
        <w:trPr>
          <w:trHeight w:val="300"/>
        </w:trPr>
        <w:tc>
          <w:tcPr>
            <w:tcW w:w="5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Итого по краевым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201530,7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200895,2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23429,6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23429,6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2921,7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2924,0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6"/>
                <w:szCs w:val="16"/>
              </w:rPr>
              <w:t>227849,8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355F" w:rsidRDefault="00E74478">
            <w:pPr>
              <w:widowControl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</w:t>
            </w:r>
          </w:p>
        </w:tc>
      </w:tr>
    </w:tbl>
    <w:p w:rsidR="0090355F" w:rsidRDefault="0090355F">
      <w:pPr>
        <w:rPr>
          <w:rFonts w:ascii="Arial" w:hAnsi="Arial" w:cs="Arial"/>
          <w:sz w:val="20"/>
          <w:szCs w:val="20"/>
        </w:rPr>
      </w:pPr>
    </w:p>
    <w:p w:rsidR="0090355F" w:rsidRDefault="0090355F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</w:pPr>
    </w:p>
    <w:p w:rsidR="00553C5A" w:rsidRDefault="00553C5A">
      <w:pPr>
        <w:rPr>
          <w:rFonts w:ascii="Arial" w:hAnsi="Arial" w:cs="Arial"/>
          <w:sz w:val="20"/>
          <w:szCs w:val="20"/>
        </w:rPr>
        <w:sectPr w:rsidR="00553C5A" w:rsidSect="00553C5A">
          <w:pgSz w:w="15840" w:h="12240" w:orient="landscape"/>
          <w:pgMar w:top="1701" w:right="1134" w:bottom="851" w:left="1134" w:header="720" w:footer="720" w:gutter="0"/>
          <w:cols w:space="720"/>
          <w:noEndnote/>
        </w:sectPr>
      </w:pPr>
    </w:p>
    <w:p w:rsidR="0090355F" w:rsidRPr="00B75FD6" w:rsidRDefault="00E74478" w:rsidP="00DE4F50">
      <w:pPr>
        <w:widowControl/>
        <w:spacing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lastRenderedPageBreak/>
        <w:t>С 2014 года бюджеты всех уровней формируются в новом «программном» формате на основе государственных или муниципальных программ. Это связано со вступившими в силу изменениями в Бюджетный кодекс РФ. Каждая муниципальная программа увязывает бюджетные ассигнования с результатами их использования для достижения заявленных целей. Таким образом, программный бюджет призван повысить качество формирования и исполнения главного финансового документа.</w:t>
      </w:r>
    </w:p>
    <w:p w:rsidR="0090355F" w:rsidRPr="00B75FD6" w:rsidRDefault="00E74478" w:rsidP="00DE4F50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 xml:space="preserve">В 2014 году на территории района были реализованы мероприятия по 11 муниципальным программам. Фактическое финансирование составило 520,2 млн. рублей или 94,3% от </w:t>
      </w:r>
      <w:r w:rsidR="003B0252">
        <w:rPr>
          <w:rFonts w:ascii="Times New Roman CYR" w:hAnsi="Times New Roman CYR" w:cs="Times New Roman CYR"/>
          <w:sz w:val="28"/>
          <w:szCs w:val="28"/>
        </w:rPr>
        <w:t>планового показателя</w:t>
      </w:r>
      <w:r w:rsidRPr="00B75FD6">
        <w:rPr>
          <w:rFonts w:ascii="Times New Roman CYR" w:hAnsi="Times New Roman CYR" w:cs="Times New Roman CYR"/>
          <w:sz w:val="28"/>
          <w:szCs w:val="28"/>
        </w:rPr>
        <w:t>. В том числе краевой бюджет 306,9 млн.руб., федеральный бюджет 21,63 млн.руб., местный бюджет 189,02 млн.руб., внебюджетные источники 2,7 млн.руб.(приложение 1 к справке).</w:t>
      </w:r>
    </w:p>
    <w:p w:rsidR="0090355F" w:rsidRPr="00B75FD6" w:rsidRDefault="00E74478" w:rsidP="00DE4F50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Наибольший объем финансирования программ осуществлялся по направлениям: образование – 59,2%, социальная защита – 20,2%, финансы-10,5 %, культура и спорт, молодежь – 8%,  жизнедеятельность территории – 1,2%, сельское хозяйство- 0,6 %, бизнес– 0,4%.</w:t>
      </w:r>
    </w:p>
    <w:p w:rsidR="0090355F" w:rsidRPr="00B75FD6" w:rsidRDefault="00E74478" w:rsidP="00DE4F50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В области образования</w:t>
      </w:r>
      <w:r w:rsidR="003B0252">
        <w:rPr>
          <w:rFonts w:ascii="Times New Roman CYR" w:hAnsi="Times New Roman CYR" w:cs="Times New Roman CYR"/>
          <w:sz w:val="28"/>
          <w:szCs w:val="28"/>
        </w:rPr>
        <w:t>,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 по муниципальной программе</w:t>
      </w:r>
      <w:r w:rsidR="003B0252">
        <w:rPr>
          <w:rFonts w:ascii="Times New Roman CYR" w:hAnsi="Times New Roman CYR" w:cs="Times New Roman CYR"/>
          <w:sz w:val="28"/>
          <w:szCs w:val="28"/>
        </w:rPr>
        <w:t>,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 были реализованы следующие значимые мероприятия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 направленные на развитие отрасли: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 xml:space="preserve">-завершен ремонт детского сада “Солнышко» в с. </w:t>
      </w:r>
      <w:proofErr w:type="spellStart"/>
      <w:r w:rsidRPr="00B75FD6">
        <w:rPr>
          <w:rFonts w:ascii="Times New Roman CYR" w:hAnsi="Times New Roman CYR" w:cs="Times New Roman CYR"/>
          <w:sz w:val="28"/>
          <w:szCs w:val="28"/>
        </w:rPr>
        <w:t>Идринское</w:t>
      </w:r>
      <w:proofErr w:type="spellEnd"/>
      <w:r w:rsidRPr="00B75FD6">
        <w:rPr>
          <w:rFonts w:ascii="Times New Roman CYR" w:hAnsi="Times New Roman CYR" w:cs="Times New Roman CYR"/>
          <w:sz w:val="28"/>
          <w:szCs w:val="28"/>
        </w:rPr>
        <w:t>, открыты дополнительно 3 группы на 75 мест на общую сумму 1541,2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</w:t>
      </w:r>
      <w:r w:rsidR="003B0252">
        <w:rPr>
          <w:rFonts w:ascii="Times New Roman CYR" w:hAnsi="Times New Roman CYR" w:cs="Times New Roman CYR"/>
          <w:sz w:val="28"/>
          <w:szCs w:val="28"/>
        </w:rPr>
        <w:t>.;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-произведен ремонт детского сада “Сказка” в с. Майское Утро на сумму 3883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произведен ремонт детского сада в с. Отрок на 20 мест на общую сумму 6038,6 тыс.руб.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произведен ремонт детского сада в с. Екатериновка на 30 мест на общую сумму 7630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 произведен ремонт детского сада в с. Никольском на 40 мест на общую сумму 10612,3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начато строительство нового детского сада в с. </w:t>
      </w:r>
      <w:proofErr w:type="spellStart"/>
      <w:r w:rsidRPr="00B75FD6">
        <w:rPr>
          <w:rFonts w:ascii="Times New Roman CYR" w:hAnsi="Times New Roman CYR" w:cs="Times New Roman CYR"/>
          <w:sz w:val="28"/>
          <w:szCs w:val="28"/>
        </w:rPr>
        <w:t>Идринско</w:t>
      </w:r>
      <w:r w:rsidR="003B0252">
        <w:rPr>
          <w:rFonts w:ascii="Times New Roman CYR" w:hAnsi="Times New Roman CYR" w:cs="Times New Roman CYR"/>
          <w:sz w:val="28"/>
          <w:szCs w:val="28"/>
        </w:rPr>
        <w:t>м</w:t>
      </w:r>
      <w:proofErr w:type="spellEnd"/>
      <w:r w:rsidRPr="00B75FD6">
        <w:rPr>
          <w:rFonts w:ascii="Times New Roman CYR" w:hAnsi="Times New Roman CYR" w:cs="Times New Roman CYR"/>
          <w:sz w:val="28"/>
          <w:szCs w:val="28"/>
        </w:rPr>
        <w:t xml:space="preserve"> на 95 мест</w:t>
      </w:r>
      <w:r w:rsidR="003B0252">
        <w:rPr>
          <w:rFonts w:ascii="Times New Roman CYR" w:hAnsi="Times New Roman CYR" w:cs="Times New Roman CYR"/>
          <w:sz w:val="28"/>
          <w:szCs w:val="28"/>
        </w:rPr>
        <w:t>,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 финансирование распределено на три года.</w:t>
      </w:r>
    </w:p>
    <w:p w:rsidR="0090355F" w:rsidRPr="00B75FD6" w:rsidRDefault="00E74478" w:rsidP="00DE4F50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Принятые меры почти полностью ликвидируют очередность в дошкольные учреждения района.</w:t>
      </w:r>
    </w:p>
    <w:p w:rsidR="0090355F" w:rsidRPr="00B75FD6" w:rsidRDefault="00E74478" w:rsidP="00DE4F50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lastRenderedPageBreak/>
        <w:t>В области социальной защиты по муниципальной программе мероприятия были направлены на поддержку отдельных категорий граждан -инвалидов, ветеранов труда, тружеников тыла, семьям имеющих детей и т.д.</w:t>
      </w:r>
    </w:p>
    <w:p w:rsidR="0090355F" w:rsidRPr="00B75FD6" w:rsidRDefault="00E74478" w:rsidP="00DE4F50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В области обеспечения жизнедеятельности территории реализовались мероприятия по обеспечению деятельности ЕДДС, предоставление субсидий организациям автомобильного пассажирского транспорта района, реализация временных мер поддержки населения в целях обеспечения доступности  коммунальных услуг.</w:t>
      </w:r>
    </w:p>
    <w:p w:rsidR="0090355F" w:rsidRPr="00B75FD6" w:rsidRDefault="00E74478" w:rsidP="00DE4F50">
      <w:pPr>
        <w:widowControl/>
        <w:spacing w:after="12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В области культуры, спорта и молодежной политики  по муниципальным программам были реализованы следующие значимые мероприятия, направленные на развитие отрасли: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произведен ремонт отопления МБУК </w:t>
      </w:r>
      <w:proofErr w:type="spellStart"/>
      <w:r w:rsidRPr="00B75FD6">
        <w:rPr>
          <w:rFonts w:ascii="Times New Roman CYR" w:hAnsi="Times New Roman CYR" w:cs="Times New Roman CYR"/>
          <w:sz w:val="28"/>
          <w:szCs w:val="28"/>
        </w:rPr>
        <w:t>Курежский</w:t>
      </w:r>
      <w:proofErr w:type="spellEnd"/>
      <w:r w:rsidRPr="00B75FD6">
        <w:rPr>
          <w:rFonts w:ascii="Times New Roman CYR" w:hAnsi="Times New Roman CYR" w:cs="Times New Roman CYR"/>
          <w:sz w:val="28"/>
          <w:szCs w:val="28"/>
        </w:rPr>
        <w:t xml:space="preserve"> СДК на сумму 119,0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произведен ремонт фундамента и стен МБУК </w:t>
      </w:r>
      <w:proofErr w:type="spellStart"/>
      <w:r w:rsidRPr="00B75FD6">
        <w:rPr>
          <w:rFonts w:ascii="Times New Roman CYR" w:hAnsi="Times New Roman CYR" w:cs="Times New Roman CYR"/>
          <w:sz w:val="28"/>
          <w:szCs w:val="28"/>
        </w:rPr>
        <w:t>Большекнышинский</w:t>
      </w:r>
      <w:proofErr w:type="spellEnd"/>
      <w:r w:rsidRPr="00B75FD6">
        <w:rPr>
          <w:rFonts w:ascii="Times New Roman CYR" w:hAnsi="Times New Roman CYR" w:cs="Times New Roman CYR"/>
          <w:sz w:val="28"/>
          <w:szCs w:val="28"/>
        </w:rPr>
        <w:t xml:space="preserve"> СДК на сумму 406,0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произведен ремонт окон и дверей МБУК Романовский СДК на сумму 50,0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произведен ремонт потолка и стен, окон в зале МБУК Молодежный центр "Альтаир" на сумму 92,7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произведена обшивка здания сельский клуб "Сибирь" на сумму 99,8 тыс.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руб.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проводилось комплектование книжных фондов, приобретение программного обеспечения</w:t>
      </w:r>
      <w:r w:rsidR="003B0252">
        <w:rPr>
          <w:rFonts w:ascii="Times New Roman CYR" w:hAnsi="Times New Roman CYR" w:cs="Times New Roman CYR"/>
          <w:sz w:val="28"/>
          <w:szCs w:val="28"/>
        </w:rPr>
        <w:t>;</w:t>
      </w:r>
    </w:p>
    <w:p w:rsidR="0090355F" w:rsidRPr="00B75FD6" w:rsidRDefault="00E74478" w:rsidP="00DE4F50">
      <w:pPr>
        <w:widowControl/>
        <w:spacing w:after="200"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-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обеспечение деятельности молодежных центров.</w:t>
      </w:r>
    </w:p>
    <w:p w:rsidR="0090355F" w:rsidRPr="00B75FD6" w:rsidRDefault="00E74478" w:rsidP="00DE4F50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В области сельского хозяйства осуществлялось проведение мероприятий по отлову безнадзорных животных, мероприятия по уничтожению дикорастущей конопли.</w:t>
      </w:r>
    </w:p>
    <w:p w:rsidR="0090355F" w:rsidRPr="00B75FD6" w:rsidRDefault="00E74478" w:rsidP="00DE4F50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В жилищной сфере в рамках мероприятия программы выделено 34 земельных участка для многодетных семей.</w:t>
      </w:r>
    </w:p>
    <w:p w:rsidR="0090355F" w:rsidRPr="00B75FD6" w:rsidRDefault="00E74478" w:rsidP="00DE4F50">
      <w:pPr>
        <w:widowControl/>
        <w:spacing w:after="200" w:line="276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t>Программа в области финансов включает в себя дотации на выравнивание бюджетной обеспеченности, поддержку мер по обеспечению сбалансированности бюджетов.</w:t>
      </w:r>
    </w:p>
    <w:p w:rsidR="0090355F" w:rsidRPr="00B75FD6" w:rsidRDefault="00E74478" w:rsidP="00DE4F50">
      <w:pPr>
        <w:spacing w:line="276" w:lineRule="auto"/>
        <w:ind w:firstLine="567"/>
        <w:rPr>
          <w:rFonts w:ascii="Arial" w:hAnsi="Arial" w:cs="Arial"/>
          <w:sz w:val="28"/>
          <w:szCs w:val="28"/>
        </w:rPr>
      </w:pPr>
      <w:r w:rsidRPr="00B75FD6">
        <w:rPr>
          <w:rFonts w:ascii="Times New Roman CYR" w:hAnsi="Times New Roman CYR" w:cs="Times New Roman CYR"/>
          <w:sz w:val="28"/>
          <w:szCs w:val="28"/>
        </w:rPr>
        <w:lastRenderedPageBreak/>
        <w:t>По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>мимо муниципальных программ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 на территории района реализовались краевые государственные программы, финансирование по которым составило 58 млн.руб. В основном поступления составили по </w:t>
      </w:r>
      <w:r w:rsidR="0072791E">
        <w:rPr>
          <w:rFonts w:ascii="Times New Roman CYR" w:hAnsi="Times New Roman CYR" w:cs="Times New Roman CYR"/>
          <w:sz w:val="28"/>
          <w:szCs w:val="28"/>
        </w:rPr>
        <w:t>Государственной</w:t>
      </w:r>
      <w:r w:rsidR="003B0252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75FD6">
        <w:rPr>
          <w:rFonts w:ascii="Times New Roman CYR" w:hAnsi="Times New Roman CYR" w:cs="Times New Roman CYR"/>
          <w:sz w:val="28"/>
          <w:szCs w:val="28"/>
        </w:rPr>
        <w:t xml:space="preserve">программе “Развитие сельского хозяйства и регулирование рынков </w:t>
      </w:r>
      <w:proofErr w:type="spellStart"/>
      <w:r w:rsidRPr="00B75FD6">
        <w:rPr>
          <w:rFonts w:ascii="Times New Roman CYR" w:hAnsi="Times New Roman CYR" w:cs="Times New Roman CYR"/>
          <w:sz w:val="28"/>
          <w:szCs w:val="28"/>
        </w:rPr>
        <w:t>с-х</w:t>
      </w:r>
      <w:proofErr w:type="spellEnd"/>
      <w:r w:rsidRPr="00B75FD6">
        <w:rPr>
          <w:rFonts w:ascii="Times New Roman CYR" w:hAnsi="Times New Roman CYR" w:cs="Times New Roman CYR"/>
          <w:sz w:val="28"/>
          <w:szCs w:val="28"/>
        </w:rPr>
        <w:t xml:space="preserve"> продукции, сырья и продовольствия” 53,4 млн.руб. на предоставление субсидий </w:t>
      </w:r>
      <w:proofErr w:type="spellStart"/>
      <w:r w:rsidRPr="00B75FD6">
        <w:rPr>
          <w:rFonts w:ascii="Times New Roman CYR" w:hAnsi="Times New Roman CYR" w:cs="Times New Roman CYR"/>
          <w:sz w:val="28"/>
          <w:szCs w:val="28"/>
        </w:rPr>
        <w:t>сельхозтоваропроизводитей</w:t>
      </w:r>
      <w:proofErr w:type="spellEnd"/>
      <w:r w:rsidRPr="00B75FD6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0355F" w:rsidRDefault="0090355F">
      <w:pPr>
        <w:rPr>
          <w:rFonts w:ascii="Arial" w:hAnsi="Arial" w:cs="Arial"/>
          <w:sz w:val="20"/>
          <w:szCs w:val="20"/>
        </w:rPr>
      </w:pP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500175">
        <w:rPr>
          <w:b/>
          <w:bCs/>
          <w:color w:val="000000"/>
          <w:sz w:val="28"/>
          <w:szCs w:val="28"/>
        </w:rPr>
        <w:t xml:space="preserve">26.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Основные проблемы развития муниципального образования</w:t>
      </w:r>
    </w:p>
    <w:p w:rsidR="003B0252" w:rsidRDefault="00E74478" w:rsidP="00DE4F50">
      <w:pPr>
        <w:widowControl/>
        <w:spacing w:after="120" w:line="276" w:lineRule="auto"/>
        <w:ind w:left="140" w:firstLine="5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kern w:val="20"/>
          <w:sz w:val="28"/>
          <w:szCs w:val="28"/>
        </w:rPr>
        <w:t>Идринский</w:t>
      </w:r>
      <w:proofErr w:type="spellEnd"/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район является чисто сельскохозяйственным районом, в районе практически нет промышленности</w:t>
      </w:r>
      <w:r w:rsidR="003B0252">
        <w:rPr>
          <w:rFonts w:ascii="Times New Roman CYR" w:hAnsi="Times New Roman CYR" w:cs="Times New Roman CYR"/>
          <w:kern w:val="20"/>
          <w:sz w:val="28"/>
          <w:szCs w:val="28"/>
        </w:rPr>
        <w:t>,</w:t>
      </w:r>
      <w:r>
        <w:rPr>
          <w:rFonts w:ascii="Times New Roman CYR" w:hAnsi="Times New Roman CYR" w:cs="Times New Roman CYR"/>
          <w:kern w:val="20"/>
          <w:sz w:val="28"/>
          <w:szCs w:val="28"/>
        </w:rPr>
        <w:t xml:space="preserve"> отсутствуют предприятия по переработке продукции. </w:t>
      </w:r>
    </w:p>
    <w:p w:rsidR="0090355F" w:rsidRDefault="00E74478" w:rsidP="00DE4F50">
      <w:pPr>
        <w:widowControl/>
        <w:spacing w:after="120" w:line="276" w:lineRule="auto"/>
        <w:ind w:left="140" w:firstLine="580"/>
        <w:jc w:val="both"/>
        <w:rPr>
          <w:rFonts w:ascii="Times New Roman CYR" w:hAnsi="Times New Roman CYR" w:cs="Times New Roman CYR"/>
          <w:kern w:val="20"/>
          <w:sz w:val="28"/>
          <w:szCs w:val="28"/>
        </w:rPr>
      </w:pPr>
      <w:r>
        <w:rPr>
          <w:rFonts w:ascii="Times New Roman CYR" w:hAnsi="Times New Roman CYR" w:cs="Times New Roman CYR"/>
          <w:kern w:val="20"/>
          <w:sz w:val="28"/>
          <w:szCs w:val="28"/>
        </w:rPr>
        <w:t>Данный факт отрицательно сказывается на собственной доходной базе района, низкая доля собственных доходов в бюджете района и отсутствие собственных средств не позволяют территории развиваться на перспективу.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kern w:val="16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Наибольший интерес для целей формирования плана дальнейших действий по экономическому прогнозу представляют следующие проблемы.</w:t>
      </w:r>
    </w:p>
    <w:p w:rsidR="0090355F" w:rsidRDefault="00E74478" w:rsidP="00DE4F50">
      <w:pPr>
        <w:numPr>
          <w:ilvl w:val="0"/>
          <w:numId w:val="2"/>
        </w:numPr>
        <w:tabs>
          <w:tab w:val="left" w:pos="1260"/>
        </w:tabs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Необходимость развития и обновления систем инженерной инфраструктуры во всех поселениях района</w:t>
      </w:r>
    </w:p>
    <w:p w:rsidR="0090355F" w:rsidRDefault="00E74478" w:rsidP="00DE4F50">
      <w:pPr>
        <w:numPr>
          <w:ilvl w:val="0"/>
          <w:numId w:val="2"/>
        </w:numPr>
        <w:tabs>
          <w:tab w:val="left" w:pos="1260"/>
        </w:tabs>
        <w:spacing w:line="276" w:lineRule="auto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Невысокий уровень развития гражданского и жилищного строительства, </w:t>
      </w:r>
      <w:r>
        <w:rPr>
          <w:rFonts w:ascii="Times New Roman CYR" w:hAnsi="Times New Roman CYR" w:cs="Times New Roman CYR"/>
          <w:sz w:val="28"/>
          <w:szCs w:val="28"/>
        </w:rPr>
        <w:t>в том числе по причине отсутствия документов территориального планирования</w:t>
      </w:r>
      <w:r w:rsidR="003B0252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муниципальных образований района и необеспеченности объектами инженерной инфраструктуры пригодных под строительство земельных участков. 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 xml:space="preserve">3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>Неурегулированность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kern w:val="20"/>
          <w:sz w:val="28"/>
          <w:szCs w:val="28"/>
        </w:rPr>
        <w:t xml:space="preserve">  земельных и имущественных отношений.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Объекты муниципальной собственности</w:t>
      </w:r>
      <w:r w:rsidR="0091369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сфере культуры, инженерных коммуникаций , юридически не оформлены, по причине отсутствия средств в местном бюджете. По этой же причине не оформлены и земельные участки, на которых они находятся. 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Собственники частных жилых зданий и строений, расположенных в отдалённых поселениях района, не заинтересованы в их официальной регистрации. Основной   причиной является тот факт, что жильё в них не востребовано к продаже.   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Сложная ситуация с  оформлением  земельных долей, она также связана с финансовыми затратами на оформление (определение границ участков) и дальнейшей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востребованностью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этих участков.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lastRenderedPageBreak/>
        <w:t>Дефицит кадров</w:t>
      </w:r>
      <w:r w:rsidR="00DE4F50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,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при сравнительно высоком уровне безработицы, что обусловлено множеством причин социального и экономического характера.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Прежде всего</w:t>
      </w:r>
      <w:r w:rsidR="00DE4F50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сокращением числа предприятий и организаций в сфере производства и оказания услуг. </w:t>
      </w:r>
    </w:p>
    <w:p w:rsidR="0090355F" w:rsidRDefault="00E74478" w:rsidP="00DE4F50">
      <w:pPr>
        <w:widowControl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cyan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районе существует нехватка квалифицированных специалистов (врачей, учителей), обусловленная отсутствием возможности предоставления комфортабельного жилья. 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00175">
        <w:rPr>
          <w:b/>
          <w:bCs/>
          <w:color w:val="000000"/>
          <w:sz w:val="28"/>
          <w:szCs w:val="28"/>
        </w:rPr>
        <w:t xml:space="preserve">27.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Перспективы социально-экономического развития муниципального образования</w:t>
      </w:r>
    </w:p>
    <w:p w:rsidR="00DE4F50" w:rsidRDefault="00DE4F50" w:rsidP="00DE4F50">
      <w:pPr>
        <w:spacing w:line="276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90355F" w:rsidRDefault="00E74478" w:rsidP="00DE4F50">
      <w:pPr>
        <w:widowControl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1.Формирование эффективного устойчивого агропромышленного производства, обеспечивающего развитие сельских территорий и повышение уровня жизни населения.</w:t>
      </w:r>
    </w:p>
    <w:p w:rsidR="0090355F" w:rsidRDefault="00E74478" w:rsidP="00DE4F50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2.Развитие строительства и архитектуры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района.</w:t>
      </w:r>
    </w:p>
    <w:p w:rsidR="0090355F" w:rsidRDefault="00E74478" w:rsidP="00DE4F50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3.Обеспечение доступности качественного образования жителей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Идринского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района.</w:t>
      </w:r>
    </w:p>
    <w:p w:rsidR="0090355F" w:rsidRDefault="00E74478" w:rsidP="00DE4F50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Создание условий</w:t>
      </w:r>
      <w:r w:rsidR="00DE4F50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обеспечивающих доступ населения района</w:t>
      </w:r>
      <w:r w:rsidR="00DE4F50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высокачественным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культурным услугам</w:t>
      </w:r>
      <w:r w:rsidR="00DE4F50">
        <w:rPr>
          <w:rFonts w:ascii="Times New Roman CYR" w:hAnsi="Times New Roman CYR" w:cs="Times New Roman CYR"/>
          <w:sz w:val="28"/>
          <w:szCs w:val="28"/>
        </w:rPr>
        <w:t>, формирующим</w:t>
      </w:r>
      <w:r>
        <w:rPr>
          <w:rFonts w:ascii="Times New Roman CYR" w:hAnsi="Times New Roman CYR" w:cs="Times New Roman CYR"/>
          <w:sz w:val="28"/>
          <w:szCs w:val="28"/>
        </w:rPr>
        <w:t xml:space="preserve"> благоприятную культурную среду для всестороннего развития личности,</w:t>
      </w:r>
    </w:p>
    <w:p w:rsidR="0090355F" w:rsidRDefault="00E74478" w:rsidP="00DE4F50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 Строительство и модернизация системы коммунальной инфраструктуры.</w:t>
      </w:r>
    </w:p>
    <w:p w:rsidR="0090355F" w:rsidRDefault="00E74478" w:rsidP="00DE4F50">
      <w:pPr>
        <w:widowControl/>
        <w:spacing w:line="27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6.Развитие малого бизнеса.</w:t>
      </w:r>
    </w:p>
    <w:p w:rsidR="0090355F" w:rsidRDefault="00E74478" w:rsidP="00DE4F50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500175">
        <w:rPr>
          <w:b/>
          <w:bCs/>
          <w:color w:val="000000"/>
          <w:sz w:val="28"/>
          <w:szCs w:val="28"/>
        </w:rPr>
        <w:t xml:space="preserve">28.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Проблемы при формировании мониторинга социально-экономического развития муниципального образования.</w:t>
      </w:r>
    </w:p>
    <w:p w:rsidR="0090355F" w:rsidRPr="00500175" w:rsidRDefault="00E74478">
      <w:pPr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Длительный процесс согласования с министерствами Красноярского края.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0355F" w:rsidRDefault="00E7447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sectPr w:rsidR="0090355F" w:rsidSect="0090355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62A6"/>
    <w:multiLevelType w:val="singleLevel"/>
    <w:tmpl w:val="1B1ECE2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78E0082C"/>
    <w:multiLevelType w:val="singleLevel"/>
    <w:tmpl w:val="5CA0EF48"/>
    <w:lvl w:ilvl="0">
      <w:start w:val="1"/>
      <w:numFmt w:val="decimal"/>
      <w:lvlText w:val="%1."/>
      <w:legacy w:legacy="1" w:legacySpace="0" w:legacyIndent="551"/>
      <w:lvlJc w:val="left"/>
      <w:rPr>
        <w:rFonts w:ascii="Times New Roman CYR" w:hAnsi="Times New Roman CYR" w:cs="Times New Roman CYR" w:hint="default"/>
        <w:b/>
        <w:i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A0834"/>
    <w:rsid w:val="0000516A"/>
    <w:rsid w:val="00024501"/>
    <w:rsid w:val="000B67A9"/>
    <w:rsid w:val="00101D48"/>
    <w:rsid w:val="00140C26"/>
    <w:rsid w:val="001A5C7A"/>
    <w:rsid w:val="002074F4"/>
    <w:rsid w:val="00224476"/>
    <w:rsid w:val="00232816"/>
    <w:rsid w:val="002C2E31"/>
    <w:rsid w:val="002F5884"/>
    <w:rsid w:val="00300B06"/>
    <w:rsid w:val="00351144"/>
    <w:rsid w:val="003B0252"/>
    <w:rsid w:val="003C31F2"/>
    <w:rsid w:val="004273CF"/>
    <w:rsid w:val="0046446F"/>
    <w:rsid w:val="004928D9"/>
    <w:rsid w:val="004A50DF"/>
    <w:rsid w:val="004D5AFE"/>
    <w:rsid w:val="004E3E66"/>
    <w:rsid w:val="00500175"/>
    <w:rsid w:val="00550979"/>
    <w:rsid w:val="00553C5A"/>
    <w:rsid w:val="00603010"/>
    <w:rsid w:val="006514D9"/>
    <w:rsid w:val="00685790"/>
    <w:rsid w:val="00690D6D"/>
    <w:rsid w:val="006D718E"/>
    <w:rsid w:val="007075F7"/>
    <w:rsid w:val="0072791E"/>
    <w:rsid w:val="00756FD2"/>
    <w:rsid w:val="00784656"/>
    <w:rsid w:val="0078755B"/>
    <w:rsid w:val="00797F20"/>
    <w:rsid w:val="007B76F1"/>
    <w:rsid w:val="007D4986"/>
    <w:rsid w:val="007E25F1"/>
    <w:rsid w:val="007E3B1F"/>
    <w:rsid w:val="007F6828"/>
    <w:rsid w:val="0089622F"/>
    <w:rsid w:val="008B19CC"/>
    <w:rsid w:val="0090355F"/>
    <w:rsid w:val="00913693"/>
    <w:rsid w:val="009A0834"/>
    <w:rsid w:val="00A07F10"/>
    <w:rsid w:val="00A20627"/>
    <w:rsid w:val="00AB06C9"/>
    <w:rsid w:val="00AB2926"/>
    <w:rsid w:val="00B75FD6"/>
    <w:rsid w:val="00B82AED"/>
    <w:rsid w:val="00BB1C04"/>
    <w:rsid w:val="00C27E4D"/>
    <w:rsid w:val="00C818D8"/>
    <w:rsid w:val="00C936DA"/>
    <w:rsid w:val="00CB3F6E"/>
    <w:rsid w:val="00CC4697"/>
    <w:rsid w:val="00CD72F7"/>
    <w:rsid w:val="00CE6917"/>
    <w:rsid w:val="00D456D6"/>
    <w:rsid w:val="00D53FA0"/>
    <w:rsid w:val="00DC12BB"/>
    <w:rsid w:val="00DE00A1"/>
    <w:rsid w:val="00DE4F50"/>
    <w:rsid w:val="00E0088C"/>
    <w:rsid w:val="00E74478"/>
    <w:rsid w:val="00EA04C8"/>
    <w:rsid w:val="00F41DFA"/>
    <w:rsid w:val="00F80F1D"/>
    <w:rsid w:val="00FB64E5"/>
    <w:rsid w:val="00FB76F6"/>
    <w:rsid w:val="00FD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355F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90355F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90355F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90355F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90355F"/>
    <w:pPr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55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035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035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0355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0355F"/>
    <w:rPr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C31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31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2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166095462716149"/>
          <c:y val="7.1428701470119704E-2"/>
          <c:w val="0.57119205298013265"/>
          <c:h val="0.77976190476190443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Количество умерших за год, чел</c:v>
                </c:pt>
              </c:strCache>
            </c:strRef>
          </c:tx>
          <c:spPr>
            <a:solidFill>
              <a:srgbClr val="9999FF"/>
            </a:solidFill>
            <a:ln w="22401">
              <a:solidFill>
                <a:srgbClr val="000000"/>
              </a:solidFill>
              <a:prstDash val="solid"/>
            </a:ln>
          </c:spPr>
          <c:cat>
            <c:numRef>
              <c:f>Sheet1!$B$1:$H$1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232</c:v>
                </c:pt>
                <c:pt idx="1">
                  <c:v>234</c:v>
                </c:pt>
                <c:pt idx="2">
                  <c:v>225</c:v>
                </c:pt>
                <c:pt idx="3">
                  <c:v>225</c:v>
                </c:pt>
                <c:pt idx="4">
                  <c:v>220</c:v>
                </c:pt>
                <c:pt idx="5">
                  <c:v>220</c:v>
                </c:pt>
                <c:pt idx="6">
                  <c:v>215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Количество родившихся за год, чел</c:v>
                </c:pt>
              </c:strCache>
            </c:strRef>
          </c:tx>
          <c:spPr>
            <a:solidFill>
              <a:srgbClr val="993366"/>
            </a:solidFill>
            <a:ln w="22401">
              <a:solidFill>
                <a:srgbClr val="000000"/>
              </a:solidFill>
              <a:prstDash val="solid"/>
            </a:ln>
          </c:spPr>
          <c:cat>
            <c:numRef>
              <c:f>Sheet1!$B$1:$H$1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176</c:v>
                </c:pt>
                <c:pt idx="1">
                  <c:v>218</c:v>
                </c:pt>
                <c:pt idx="2">
                  <c:v>161</c:v>
                </c:pt>
                <c:pt idx="3">
                  <c:v>171</c:v>
                </c:pt>
                <c:pt idx="4">
                  <c:v>178</c:v>
                </c:pt>
                <c:pt idx="5">
                  <c:v>180</c:v>
                </c:pt>
                <c:pt idx="6">
                  <c:v>185</c:v>
                </c:pt>
              </c:numCache>
            </c:numRef>
          </c:val>
        </c:ser>
        <c:gapDepth val="0"/>
        <c:shape val="box"/>
        <c:axId val="76669696"/>
        <c:axId val="76671232"/>
        <c:axId val="0"/>
      </c:bar3DChart>
      <c:catAx>
        <c:axId val="76669696"/>
        <c:scaling>
          <c:orientation val="minMax"/>
        </c:scaling>
        <c:axPos val="b"/>
        <c:numFmt formatCode="General" sourceLinked="1"/>
        <c:tickLblPos val="low"/>
        <c:spPr>
          <a:ln w="56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671232"/>
        <c:crosses val="autoZero"/>
        <c:auto val="1"/>
        <c:lblAlgn val="ctr"/>
        <c:lblOffset val="100"/>
        <c:tickLblSkip val="2"/>
        <c:tickMarkSkip val="1"/>
      </c:catAx>
      <c:valAx>
        <c:axId val="76671232"/>
        <c:scaling>
          <c:orientation val="minMax"/>
        </c:scaling>
        <c:axPos val="l"/>
        <c:majorGridlines>
          <c:spPr>
            <a:ln w="560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56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669696"/>
        <c:crosses val="autoZero"/>
        <c:crossBetween val="between"/>
      </c:valAx>
      <c:spPr>
        <a:noFill/>
        <a:ln w="44803">
          <a:noFill/>
        </a:ln>
      </c:spPr>
    </c:plotArea>
    <c:legend>
      <c:legendPos val="r"/>
      <c:layout>
        <c:manualLayout>
          <c:xMode val="edge"/>
          <c:yMode val="edge"/>
          <c:x val="0.76235878495644072"/>
          <c:y val="0.27083333333333326"/>
          <c:w val="0.23101866338368937"/>
          <c:h val="0.46130952380952417"/>
        </c:manualLayout>
      </c:layout>
      <c:spPr>
        <a:noFill/>
        <a:ln w="5600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260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1996434937611468E-2"/>
          <c:y val="6.269592476489029E-2"/>
          <c:w val="0.56684491978609663"/>
          <c:h val="0.8025078369905963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численность прибывшего за год населения,чел</c:v>
                </c:pt>
              </c:strCache>
            </c:strRef>
          </c:tx>
          <c:spPr>
            <a:solidFill>
              <a:srgbClr val="9999FF"/>
            </a:solidFill>
            <a:ln w="22401">
              <a:solidFill>
                <a:srgbClr val="000000"/>
              </a:solidFill>
              <a:prstDash val="solid"/>
            </a:ln>
          </c:spPr>
          <c:cat>
            <c:numRef>
              <c:f>Sheet1!$B$1:$H$1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562</c:v>
                </c:pt>
                <c:pt idx="1">
                  <c:v>625</c:v>
                </c:pt>
                <c:pt idx="2">
                  <c:v>563</c:v>
                </c:pt>
                <c:pt idx="3">
                  <c:v>569</c:v>
                </c:pt>
                <c:pt idx="4">
                  <c:v>573</c:v>
                </c:pt>
                <c:pt idx="5">
                  <c:v>575</c:v>
                </c:pt>
                <c:pt idx="6">
                  <c:v>582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Численность выбывшего за год населения, чел</c:v>
                </c:pt>
              </c:strCache>
            </c:strRef>
          </c:tx>
          <c:spPr>
            <a:solidFill>
              <a:srgbClr val="993366"/>
            </a:solidFill>
            <a:ln w="22401">
              <a:solidFill>
                <a:srgbClr val="000000"/>
              </a:solidFill>
              <a:prstDash val="solid"/>
            </a:ln>
          </c:spPr>
          <c:cat>
            <c:numRef>
              <c:f>Sheet1!$B$1:$H$1</c:f>
              <c:numCache>
                <c:formatCode>General</c:formatCode>
                <c:ptCount val="7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726</c:v>
                </c:pt>
                <c:pt idx="1">
                  <c:v>813</c:v>
                </c:pt>
                <c:pt idx="2">
                  <c:v>701</c:v>
                </c:pt>
                <c:pt idx="3">
                  <c:v>700</c:v>
                </c:pt>
                <c:pt idx="4">
                  <c:v>685</c:v>
                </c:pt>
                <c:pt idx="5">
                  <c:v>681</c:v>
                </c:pt>
                <c:pt idx="6">
                  <c:v>670</c:v>
                </c:pt>
              </c:numCache>
            </c:numRef>
          </c:val>
        </c:ser>
        <c:gapDepth val="0"/>
        <c:shape val="box"/>
        <c:axId val="44207104"/>
        <c:axId val="44208896"/>
        <c:axId val="0"/>
      </c:bar3DChart>
      <c:catAx>
        <c:axId val="44207104"/>
        <c:scaling>
          <c:orientation val="minMax"/>
        </c:scaling>
        <c:axPos val="b"/>
        <c:numFmt formatCode="General" sourceLinked="1"/>
        <c:tickLblPos val="low"/>
        <c:spPr>
          <a:ln w="56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44208896"/>
        <c:crosses val="autoZero"/>
        <c:auto val="1"/>
        <c:lblAlgn val="ctr"/>
        <c:lblOffset val="100"/>
        <c:tickLblSkip val="1"/>
        <c:tickMarkSkip val="1"/>
      </c:catAx>
      <c:valAx>
        <c:axId val="44208896"/>
        <c:scaling>
          <c:orientation val="minMax"/>
        </c:scaling>
        <c:axPos val="l"/>
        <c:majorGridlines>
          <c:spPr>
            <a:ln w="5600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560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44207104"/>
        <c:crosses val="autoZero"/>
        <c:crossBetween val="between"/>
      </c:valAx>
      <c:spPr>
        <a:noFill/>
        <a:ln w="44803">
          <a:noFill/>
        </a:ln>
      </c:spPr>
    </c:plotArea>
    <c:legend>
      <c:legendPos val="r"/>
      <c:layout>
        <c:manualLayout>
          <c:xMode val="edge"/>
          <c:yMode val="edge"/>
          <c:x val="0.66844919786096268"/>
          <c:y val="0.30407523510971818"/>
          <c:w val="0.32442067736185498"/>
          <c:h val="0.39184952978056475"/>
        </c:manualLayout>
      </c:layout>
      <c:spPr>
        <a:noFill/>
        <a:ln w="5600">
          <a:solidFill>
            <a:srgbClr val="000000"/>
          </a:solidFill>
          <a:prstDash val="solid"/>
        </a:ln>
      </c:spPr>
      <c:txPr>
        <a:bodyPr/>
        <a:lstStyle/>
        <a:p>
          <a:pPr>
            <a:defRPr sz="14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21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51641-3AF0-4D56-9294-86845A9E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14577</Words>
  <Characters>94560</Characters>
  <Application>Microsoft Office Word</Application>
  <DocSecurity>0</DocSecurity>
  <Lines>788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108920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Татьяна Типишкина</cp:lastModifiedBy>
  <cp:revision>59</cp:revision>
  <dcterms:created xsi:type="dcterms:W3CDTF">2015-11-05T01:50:00Z</dcterms:created>
  <dcterms:modified xsi:type="dcterms:W3CDTF">2015-11-09T02:31:00Z</dcterms:modified>
</cp:coreProperties>
</file>